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67B" w:rsidRPr="007F5366" w:rsidRDefault="00BC767B" w:rsidP="00BC767B">
      <w:pPr>
        <w:spacing w:after="0" w:line="240" w:lineRule="auto"/>
        <w:jc w:val="center"/>
        <w:rPr>
          <w:rFonts w:ascii="Arial" w:eastAsia="Calibri" w:hAnsi="Arial" w:cs="Arial"/>
          <w:b/>
        </w:rPr>
      </w:pPr>
      <w:r w:rsidRPr="007F5366">
        <w:rPr>
          <w:rFonts w:ascii="Arial" w:eastAsia="Calibri" w:hAnsi="Arial" w:cs="Arial"/>
          <w:b/>
        </w:rPr>
        <w:t xml:space="preserve">NACRT PROGRAMSKOG ZADATKA SA ELEMENTIMA </w:t>
      </w:r>
    </w:p>
    <w:p w:rsidR="00BC767B" w:rsidRPr="007F5366" w:rsidRDefault="00BC767B" w:rsidP="00BC767B">
      <w:pPr>
        <w:spacing w:after="0" w:line="240" w:lineRule="auto"/>
        <w:jc w:val="center"/>
        <w:rPr>
          <w:rFonts w:ascii="Arial" w:eastAsia="Calibri" w:hAnsi="Arial" w:cs="Arial"/>
          <w:b/>
        </w:rPr>
      </w:pPr>
      <w:r w:rsidRPr="007F5366">
        <w:rPr>
          <w:rFonts w:ascii="Arial" w:eastAsia="Calibri" w:hAnsi="Arial" w:cs="Arial"/>
          <w:b/>
        </w:rPr>
        <w:t>URBANISTIČKO-TEHNIČKIH USLOVA</w:t>
      </w:r>
    </w:p>
    <w:p w:rsidR="005053D0" w:rsidRPr="007F5366" w:rsidRDefault="005053D0" w:rsidP="005053D0">
      <w:pPr>
        <w:spacing w:after="0" w:line="240" w:lineRule="auto"/>
        <w:rPr>
          <w:rFonts w:ascii="Arial" w:hAnsi="Arial" w:cs="Arial"/>
        </w:rPr>
      </w:pPr>
    </w:p>
    <w:tbl>
      <w:tblPr>
        <w:tblStyle w:val="TableGrid"/>
        <w:tblW w:w="11558" w:type="dxa"/>
        <w:jc w:val="center"/>
        <w:tblLook w:val="04A0" w:firstRow="1" w:lastRow="0" w:firstColumn="1" w:lastColumn="0" w:noHBand="0" w:noVBand="1"/>
      </w:tblPr>
      <w:tblGrid>
        <w:gridCol w:w="1772"/>
        <w:gridCol w:w="4862"/>
        <w:gridCol w:w="75"/>
        <w:gridCol w:w="2561"/>
        <w:gridCol w:w="2288"/>
      </w:tblGrid>
      <w:tr w:rsidR="00426D9A" w:rsidRPr="007F5366" w:rsidTr="00922392">
        <w:trPr>
          <w:trHeight w:val="340"/>
          <w:jc w:val="center"/>
        </w:trPr>
        <w:tc>
          <w:tcPr>
            <w:tcW w:w="1772" w:type="dxa"/>
            <w:vMerge w:val="restart"/>
            <w:noWrap/>
            <w:vAlign w:val="center"/>
            <w:hideMark/>
          </w:tcPr>
          <w:p w:rsidR="00426D9A" w:rsidRPr="007F5366" w:rsidRDefault="00426D9A" w:rsidP="00F5152B">
            <w:pPr>
              <w:pStyle w:val="ListParagraph"/>
              <w:numPr>
                <w:ilvl w:val="0"/>
                <w:numId w:val="1"/>
              </w:numPr>
              <w:tabs>
                <w:tab w:val="left" w:pos="6915"/>
              </w:tabs>
              <w:rPr>
                <w:rFonts w:ascii="Arial" w:hAnsi="Arial" w:cs="Arial"/>
                <w:sz w:val="22"/>
                <w:szCs w:val="22"/>
              </w:rPr>
            </w:pPr>
          </w:p>
        </w:tc>
        <w:tc>
          <w:tcPr>
            <w:tcW w:w="4937" w:type="dxa"/>
            <w:gridSpan w:val="2"/>
            <w:vMerge w:val="restart"/>
            <w:hideMark/>
          </w:tcPr>
          <w:p w:rsidR="007F5366" w:rsidRDefault="007F5366" w:rsidP="00C40D33">
            <w:pPr>
              <w:tabs>
                <w:tab w:val="left" w:pos="6915"/>
              </w:tabs>
              <w:rPr>
                <w:rFonts w:ascii="Arial" w:hAnsi="Arial" w:cs="Arial"/>
                <w:bCs/>
                <w:sz w:val="22"/>
                <w:szCs w:val="22"/>
              </w:rPr>
            </w:pPr>
          </w:p>
          <w:p w:rsidR="00426D9A" w:rsidRPr="007F5366" w:rsidRDefault="00426D9A" w:rsidP="00C40D33">
            <w:pPr>
              <w:tabs>
                <w:tab w:val="left" w:pos="6915"/>
              </w:tabs>
              <w:rPr>
                <w:rFonts w:ascii="Arial" w:hAnsi="Arial" w:cs="Arial"/>
                <w:bCs/>
                <w:sz w:val="22"/>
                <w:szCs w:val="22"/>
              </w:rPr>
            </w:pPr>
            <w:r w:rsidRPr="007F5366">
              <w:rPr>
                <w:rFonts w:ascii="Arial" w:hAnsi="Arial" w:cs="Arial"/>
                <w:bCs/>
                <w:sz w:val="22"/>
                <w:szCs w:val="22"/>
              </w:rPr>
              <w:t xml:space="preserve">Sekretarijat za </w:t>
            </w:r>
            <w:r w:rsidR="00D44949">
              <w:rPr>
                <w:rFonts w:ascii="Arial" w:hAnsi="Arial" w:cs="Arial"/>
                <w:bCs/>
                <w:sz w:val="22"/>
                <w:szCs w:val="22"/>
              </w:rPr>
              <w:t>uređenje</w:t>
            </w:r>
            <w:r w:rsidR="00114DB2" w:rsidRPr="007F5366">
              <w:rPr>
                <w:rFonts w:ascii="Arial" w:hAnsi="Arial" w:cs="Arial"/>
                <w:bCs/>
                <w:sz w:val="22"/>
                <w:szCs w:val="22"/>
              </w:rPr>
              <w:t xml:space="preserve"> prostora </w:t>
            </w:r>
          </w:p>
          <w:p w:rsidR="000E4037" w:rsidRPr="00147CAD" w:rsidRDefault="000E4037" w:rsidP="000E4037">
            <w:pPr>
              <w:tabs>
                <w:tab w:val="left" w:pos="6915"/>
              </w:tabs>
              <w:rPr>
                <w:rFonts w:ascii="Arial" w:hAnsi="Arial" w:cs="Arial"/>
                <w:bCs/>
                <w:sz w:val="22"/>
                <w:szCs w:val="22"/>
              </w:rPr>
            </w:pPr>
            <w:r w:rsidRPr="00147CAD">
              <w:rPr>
                <w:rFonts w:ascii="Arial" w:hAnsi="Arial" w:cs="Arial"/>
                <w:bCs/>
                <w:sz w:val="22"/>
                <w:szCs w:val="22"/>
              </w:rPr>
              <w:t>09-333/21-</w:t>
            </w:r>
            <w:r w:rsidR="00502A03">
              <w:rPr>
                <w:rFonts w:ascii="Arial" w:hAnsi="Arial" w:cs="Arial"/>
                <w:bCs/>
                <w:sz w:val="22"/>
                <w:szCs w:val="22"/>
              </w:rPr>
              <w:t>216/7</w:t>
            </w:r>
          </w:p>
          <w:p w:rsidR="000E4037" w:rsidRPr="00147CAD" w:rsidRDefault="000E4037" w:rsidP="000E4037">
            <w:pPr>
              <w:tabs>
                <w:tab w:val="left" w:pos="6915"/>
              </w:tabs>
              <w:rPr>
                <w:rFonts w:ascii="Arial" w:hAnsi="Arial" w:cs="Arial"/>
                <w:bCs/>
                <w:sz w:val="22"/>
                <w:szCs w:val="22"/>
              </w:rPr>
            </w:pPr>
            <w:r w:rsidRPr="00147CAD">
              <w:rPr>
                <w:rFonts w:ascii="Arial" w:hAnsi="Arial" w:cs="Arial"/>
                <w:bCs/>
                <w:sz w:val="22"/>
                <w:szCs w:val="22"/>
              </w:rPr>
              <w:t xml:space="preserve">Tivat: </w:t>
            </w:r>
            <w:r w:rsidR="00502A03">
              <w:rPr>
                <w:rFonts w:ascii="Arial" w:hAnsi="Arial" w:cs="Arial"/>
                <w:bCs/>
                <w:sz w:val="22"/>
                <w:szCs w:val="22"/>
              </w:rPr>
              <w:t>12</w:t>
            </w:r>
            <w:r w:rsidRPr="00147CAD">
              <w:rPr>
                <w:rFonts w:ascii="Arial" w:hAnsi="Arial" w:cs="Arial"/>
                <w:bCs/>
                <w:sz w:val="22"/>
                <w:szCs w:val="22"/>
              </w:rPr>
              <w:t>.0</w:t>
            </w:r>
            <w:r w:rsidR="00502A03">
              <w:rPr>
                <w:rFonts w:ascii="Arial" w:hAnsi="Arial" w:cs="Arial"/>
                <w:bCs/>
                <w:sz w:val="22"/>
                <w:szCs w:val="22"/>
              </w:rPr>
              <w:t>5</w:t>
            </w:r>
            <w:bookmarkStart w:id="0" w:name="_GoBack"/>
            <w:bookmarkEnd w:id="0"/>
            <w:r w:rsidRPr="00147CAD">
              <w:rPr>
                <w:rFonts w:ascii="Arial" w:hAnsi="Arial" w:cs="Arial"/>
                <w:bCs/>
                <w:sz w:val="22"/>
                <w:szCs w:val="22"/>
              </w:rPr>
              <w:t>.2022.godine</w:t>
            </w:r>
          </w:p>
          <w:p w:rsidR="00426D9A" w:rsidRPr="007F5366" w:rsidRDefault="00426D9A" w:rsidP="007F5366">
            <w:pPr>
              <w:tabs>
                <w:tab w:val="left" w:pos="6915"/>
              </w:tabs>
              <w:rPr>
                <w:rFonts w:ascii="Arial" w:hAnsi="Arial" w:cs="Arial"/>
                <w:b/>
                <w:bCs/>
                <w:sz w:val="22"/>
                <w:szCs w:val="22"/>
              </w:rPr>
            </w:pPr>
          </w:p>
        </w:tc>
        <w:tc>
          <w:tcPr>
            <w:tcW w:w="2561" w:type="dxa"/>
            <w:vMerge w:val="restart"/>
            <w:noWrap/>
            <w:vAlign w:val="bottom"/>
            <w:hideMark/>
          </w:tcPr>
          <w:p w:rsidR="00426D9A" w:rsidRPr="007F5366" w:rsidRDefault="00426D9A" w:rsidP="00426D9A">
            <w:pPr>
              <w:tabs>
                <w:tab w:val="left" w:pos="6915"/>
              </w:tabs>
              <w:jc w:val="center"/>
              <w:rPr>
                <w:rFonts w:ascii="Arial" w:hAnsi="Arial" w:cs="Arial"/>
                <w:b/>
                <w:sz w:val="22"/>
                <w:szCs w:val="22"/>
              </w:rPr>
            </w:pPr>
            <w:r w:rsidRPr="007F5366">
              <w:rPr>
                <w:rFonts w:ascii="Arial" w:hAnsi="Arial" w:cs="Arial"/>
                <w:b/>
                <w:noProof/>
                <w:lang w:val="en-GB" w:eastAsia="en-GB"/>
              </w:rPr>
              <w:drawing>
                <wp:anchor distT="0" distB="0" distL="114300" distR="114300" simplePos="0" relativeHeight="251659264" behindDoc="0" locked="0" layoutInCell="1" allowOverlap="1" wp14:anchorId="236D73E3" wp14:editId="39039A97">
                  <wp:simplePos x="0" y="0"/>
                  <wp:positionH relativeFrom="column">
                    <wp:posOffset>351790</wp:posOffset>
                  </wp:positionH>
                  <wp:positionV relativeFrom="paragraph">
                    <wp:posOffset>-958215</wp:posOffset>
                  </wp:positionV>
                  <wp:extent cx="782320" cy="899795"/>
                  <wp:effectExtent l="0" t="0" r="0" b="0"/>
                  <wp:wrapNone/>
                  <wp:docPr id="1" name="Picture 1" descr="C:\Users\adrijana.pejovic\Desktop\Coat_of_arms_of_Montenegr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rijana.pejovic\Desktop\Coat_of_arms_of_Montenegro.sv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2320" cy="899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5366">
              <w:rPr>
                <w:rFonts w:ascii="Arial" w:hAnsi="Arial" w:cs="Arial"/>
                <w:b/>
                <w:sz w:val="22"/>
                <w:szCs w:val="22"/>
              </w:rPr>
              <w:t>CRNA GORA</w:t>
            </w:r>
          </w:p>
        </w:tc>
        <w:tc>
          <w:tcPr>
            <w:tcW w:w="2288" w:type="dxa"/>
            <w:vMerge w:val="restart"/>
            <w:vAlign w:val="bottom"/>
          </w:tcPr>
          <w:p w:rsidR="00426D9A" w:rsidRPr="007F5366" w:rsidRDefault="00426D9A" w:rsidP="00167F97">
            <w:pPr>
              <w:tabs>
                <w:tab w:val="left" w:pos="6915"/>
              </w:tabs>
              <w:jc w:val="center"/>
              <w:rPr>
                <w:rFonts w:ascii="Arial" w:hAnsi="Arial" w:cs="Arial"/>
                <w:b/>
                <w:sz w:val="22"/>
                <w:szCs w:val="22"/>
              </w:rPr>
            </w:pPr>
            <w:r w:rsidRPr="007F5366">
              <w:rPr>
                <w:rFonts w:ascii="Arial" w:hAnsi="Arial" w:cs="Arial"/>
                <w:b/>
                <w:noProof/>
                <w:lang w:val="en-GB" w:eastAsia="en-GB"/>
              </w:rPr>
              <w:drawing>
                <wp:anchor distT="0" distB="0" distL="114300" distR="114300" simplePos="0" relativeHeight="251657216" behindDoc="0" locked="0" layoutInCell="1" allowOverlap="1" wp14:anchorId="5A4E6580" wp14:editId="0C98C6C1">
                  <wp:simplePos x="0" y="0"/>
                  <wp:positionH relativeFrom="column">
                    <wp:posOffset>236855</wp:posOffset>
                  </wp:positionH>
                  <wp:positionV relativeFrom="paragraph">
                    <wp:posOffset>-949960</wp:posOffset>
                  </wp:positionV>
                  <wp:extent cx="859790" cy="899795"/>
                  <wp:effectExtent l="0" t="0" r="0" b="0"/>
                  <wp:wrapNone/>
                  <wp:docPr id="2" name="Picture 2" descr="S:\PSL03 - Informacioni Sistem\OPSTINA\Grbovi\opstina - tiva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SL03 - Informacioni Sistem\OPSTINA\Grbovi\opstina - tivat logo.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7796" r="9220"/>
                          <a:stretch/>
                        </pic:blipFill>
                        <pic:spPr bwMode="auto">
                          <a:xfrm flipH="1">
                            <a:off x="0" y="0"/>
                            <a:ext cx="859790" cy="8997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F5366">
              <w:rPr>
                <w:rFonts w:ascii="Arial" w:hAnsi="Arial" w:cs="Arial"/>
                <w:b/>
                <w:sz w:val="22"/>
                <w:szCs w:val="22"/>
              </w:rPr>
              <w:t>OP</w:t>
            </w:r>
            <w:r w:rsidR="00167F97" w:rsidRPr="007F5366">
              <w:rPr>
                <w:rFonts w:ascii="Arial" w:hAnsi="Arial" w:cs="Arial"/>
                <w:b/>
                <w:sz w:val="22"/>
                <w:szCs w:val="22"/>
              </w:rPr>
              <w:t>Š</w:t>
            </w:r>
            <w:r w:rsidRPr="007F5366">
              <w:rPr>
                <w:rFonts w:ascii="Arial" w:hAnsi="Arial" w:cs="Arial"/>
                <w:b/>
                <w:sz w:val="22"/>
                <w:szCs w:val="22"/>
              </w:rPr>
              <w:t>TINA TIVAT</w:t>
            </w:r>
          </w:p>
        </w:tc>
      </w:tr>
      <w:tr w:rsidR="00426D9A" w:rsidRPr="007F5366" w:rsidTr="00922392">
        <w:trPr>
          <w:trHeight w:val="317"/>
          <w:jc w:val="center"/>
        </w:trPr>
        <w:tc>
          <w:tcPr>
            <w:tcW w:w="1772" w:type="dxa"/>
            <w:vMerge/>
            <w:vAlign w:val="center"/>
            <w:hideMark/>
          </w:tcPr>
          <w:p w:rsidR="00426D9A" w:rsidRPr="007F5366" w:rsidRDefault="00426D9A" w:rsidP="00F5152B">
            <w:pPr>
              <w:pStyle w:val="ListParagraph"/>
              <w:numPr>
                <w:ilvl w:val="0"/>
                <w:numId w:val="1"/>
              </w:numPr>
              <w:tabs>
                <w:tab w:val="left" w:pos="6915"/>
              </w:tabs>
              <w:rPr>
                <w:rFonts w:ascii="Arial" w:hAnsi="Arial" w:cs="Arial"/>
                <w:sz w:val="22"/>
                <w:szCs w:val="22"/>
              </w:rPr>
            </w:pPr>
          </w:p>
        </w:tc>
        <w:tc>
          <w:tcPr>
            <w:tcW w:w="4937" w:type="dxa"/>
            <w:gridSpan w:val="2"/>
            <w:vMerge/>
            <w:hideMark/>
          </w:tcPr>
          <w:p w:rsidR="00426D9A" w:rsidRPr="007F5366" w:rsidRDefault="00426D9A" w:rsidP="005053D0">
            <w:pPr>
              <w:tabs>
                <w:tab w:val="left" w:pos="6915"/>
              </w:tabs>
              <w:jc w:val="both"/>
              <w:rPr>
                <w:rFonts w:ascii="Arial" w:hAnsi="Arial" w:cs="Arial"/>
                <w:b/>
                <w:bCs/>
                <w:sz w:val="22"/>
                <w:szCs w:val="22"/>
              </w:rPr>
            </w:pPr>
          </w:p>
        </w:tc>
        <w:tc>
          <w:tcPr>
            <w:tcW w:w="2561" w:type="dxa"/>
            <w:vMerge/>
            <w:hideMark/>
          </w:tcPr>
          <w:p w:rsidR="00426D9A" w:rsidRPr="007F5366" w:rsidRDefault="00426D9A" w:rsidP="005053D0">
            <w:pPr>
              <w:tabs>
                <w:tab w:val="left" w:pos="6915"/>
              </w:tabs>
              <w:jc w:val="both"/>
              <w:rPr>
                <w:rFonts w:ascii="Arial" w:hAnsi="Arial" w:cs="Arial"/>
                <w:sz w:val="22"/>
                <w:szCs w:val="22"/>
              </w:rPr>
            </w:pPr>
          </w:p>
        </w:tc>
        <w:tc>
          <w:tcPr>
            <w:tcW w:w="2288" w:type="dxa"/>
            <w:vMerge/>
          </w:tcPr>
          <w:p w:rsidR="00426D9A" w:rsidRPr="007F5366" w:rsidRDefault="00426D9A" w:rsidP="005053D0">
            <w:pPr>
              <w:tabs>
                <w:tab w:val="left" w:pos="6915"/>
              </w:tabs>
              <w:jc w:val="both"/>
              <w:rPr>
                <w:rFonts w:ascii="Arial" w:hAnsi="Arial" w:cs="Arial"/>
                <w:sz w:val="22"/>
                <w:szCs w:val="22"/>
              </w:rPr>
            </w:pPr>
          </w:p>
        </w:tc>
      </w:tr>
      <w:tr w:rsidR="00426D9A" w:rsidRPr="007F5366" w:rsidTr="00922392">
        <w:trPr>
          <w:trHeight w:val="317"/>
          <w:jc w:val="center"/>
        </w:trPr>
        <w:tc>
          <w:tcPr>
            <w:tcW w:w="1772" w:type="dxa"/>
            <w:vMerge/>
            <w:vAlign w:val="center"/>
            <w:hideMark/>
          </w:tcPr>
          <w:p w:rsidR="00426D9A" w:rsidRPr="007F5366" w:rsidRDefault="00426D9A" w:rsidP="00F5152B">
            <w:pPr>
              <w:pStyle w:val="ListParagraph"/>
              <w:numPr>
                <w:ilvl w:val="0"/>
                <w:numId w:val="1"/>
              </w:numPr>
              <w:tabs>
                <w:tab w:val="left" w:pos="6915"/>
              </w:tabs>
              <w:rPr>
                <w:rFonts w:ascii="Arial" w:hAnsi="Arial" w:cs="Arial"/>
                <w:sz w:val="22"/>
                <w:szCs w:val="22"/>
              </w:rPr>
            </w:pPr>
          </w:p>
        </w:tc>
        <w:tc>
          <w:tcPr>
            <w:tcW w:w="4937" w:type="dxa"/>
            <w:gridSpan w:val="2"/>
            <w:vMerge/>
            <w:hideMark/>
          </w:tcPr>
          <w:p w:rsidR="00426D9A" w:rsidRPr="007F5366" w:rsidRDefault="00426D9A" w:rsidP="005053D0">
            <w:pPr>
              <w:tabs>
                <w:tab w:val="left" w:pos="6915"/>
              </w:tabs>
              <w:jc w:val="both"/>
              <w:rPr>
                <w:rFonts w:ascii="Arial" w:hAnsi="Arial" w:cs="Arial"/>
                <w:b/>
                <w:bCs/>
                <w:sz w:val="22"/>
                <w:szCs w:val="22"/>
              </w:rPr>
            </w:pPr>
          </w:p>
        </w:tc>
        <w:tc>
          <w:tcPr>
            <w:tcW w:w="2561" w:type="dxa"/>
            <w:vMerge/>
            <w:hideMark/>
          </w:tcPr>
          <w:p w:rsidR="00426D9A" w:rsidRPr="007F5366" w:rsidRDefault="00426D9A" w:rsidP="005053D0">
            <w:pPr>
              <w:tabs>
                <w:tab w:val="left" w:pos="6915"/>
              </w:tabs>
              <w:jc w:val="both"/>
              <w:rPr>
                <w:rFonts w:ascii="Arial" w:hAnsi="Arial" w:cs="Arial"/>
                <w:sz w:val="22"/>
                <w:szCs w:val="22"/>
              </w:rPr>
            </w:pPr>
          </w:p>
        </w:tc>
        <w:tc>
          <w:tcPr>
            <w:tcW w:w="2288" w:type="dxa"/>
            <w:vMerge/>
          </w:tcPr>
          <w:p w:rsidR="00426D9A" w:rsidRPr="007F5366" w:rsidRDefault="00426D9A" w:rsidP="005053D0">
            <w:pPr>
              <w:tabs>
                <w:tab w:val="left" w:pos="6915"/>
              </w:tabs>
              <w:jc w:val="both"/>
              <w:rPr>
                <w:rFonts w:ascii="Arial" w:hAnsi="Arial" w:cs="Arial"/>
                <w:sz w:val="22"/>
                <w:szCs w:val="22"/>
              </w:rPr>
            </w:pPr>
          </w:p>
        </w:tc>
      </w:tr>
      <w:tr w:rsidR="00426D9A" w:rsidRPr="007F5366" w:rsidTr="00922392">
        <w:trPr>
          <w:trHeight w:val="317"/>
          <w:jc w:val="center"/>
        </w:trPr>
        <w:tc>
          <w:tcPr>
            <w:tcW w:w="1772" w:type="dxa"/>
            <w:vMerge/>
            <w:vAlign w:val="center"/>
            <w:hideMark/>
          </w:tcPr>
          <w:p w:rsidR="00426D9A" w:rsidRPr="007F5366" w:rsidRDefault="00426D9A" w:rsidP="00F5152B">
            <w:pPr>
              <w:pStyle w:val="ListParagraph"/>
              <w:numPr>
                <w:ilvl w:val="0"/>
                <w:numId w:val="1"/>
              </w:numPr>
              <w:tabs>
                <w:tab w:val="left" w:pos="6915"/>
              </w:tabs>
              <w:rPr>
                <w:rFonts w:ascii="Arial" w:hAnsi="Arial" w:cs="Arial"/>
                <w:sz w:val="22"/>
                <w:szCs w:val="22"/>
              </w:rPr>
            </w:pPr>
          </w:p>
        </w:tc>
        <w:tc>
          <w:tcPr>
            <w:tcW w:w="4937" w:type="dxa"/>
            <w:gridSpan w:val="2"/>
            <w:vMerge/>
            <w:hideMark/>
          </w:tcPr>
          <w:p w:rsidR="00426D9A" w:rsidRPr="007F5366" w:rsidRDefault="00426D9A" w:rsidP="005053D0">
            <w:pPr>
              <w:tabs>
                <w:tab w:val="left" w:pos="6915"/>
              </w:tabs>
              <w:jc w:val="both"/>
              <w:rPr>
                <w:rFonts w:ascii="Arial" w:hAnsi="Arial" w:cs="Arial"/>
                <w:b/>
                <w:bCs/>
                <w:sz w:val="22"/>
                <w:szCs w:val="22"/>
              </w:rPr>
            </w:pPr>
          </w:p>
        </w:tc>
        <w:tc>
          <w:tcPr>
            <w:tcW w:w="2561" w:type="dxa"/>
            <w:vMerge/>
            <w:hideMark/>
          </w:tcPr>
          <w:p w:rsidR="00426D9A" w:rsidRPr="007F5366" w:rsidRDefault="00426D9A" w:rsidP="005053D0">
            <w:pPr>
              <w:tabs>
                <w:tab w:val="left" w:pos="6915"/>
              </w:tabs>
              <w:jc w:val="both"/>
              <w:rPr>
                <w:rFonts w:ascii="Arial" w:hAnsi="Arial" w:cs="Arial"/>
                <w:sz w:val="22"/>
                <w:szCs w:val="22"/>
              </w:rPr>
            </w:pPr>
          </w:p>
        </w:tc>
        <w:tc>
          <w:tcPr>
            <w:tcW w:w="2288" w:type="dxa"/>
            <w:vMerge/>
          </w:tcPr>
          <w:p w:rsidR="00426D9A" w:rsidRPr="007F5366" w:rsidRDefault="00426D9A" w:rsidP="005053D0">
            <w:pPr>
              <w:tabs>
                <w:tab w:val="left" w:pos="6915"/>
              </w:tabs>
              <w:jc w:val="both"/>
              <w:rPr>
                <w:rFonts w:ascii="Arial" w:hAnsi="Arial" w:cs="Arial"/>
                <w:sz w:val="22"/>
                <w:szCs w:val="22"/>
              </w:rPr>
            </w:pPr>
          </w:p>
        </w:tc>
      </w:tr>
      <w:tr w:rsidR="00426D9A" w:rsidRPr="007F5366" w:rsidTr="00922392">
        <w:trPr>
          <w:trHeight w:val="545"/>
          <w:jc w:val="center"/>
        </w:trPr>
        <w:tc>
          <w:tcPr>
            <w:tcW w:w="1772" w:type="dxa"/>
            <w:vMerge/>
            <w:vAlign w:val="center"/>
            <w:hideMark/>
          </w:tcPr>
          <w:p w:rsidR="00426D9A" w:rsidRPr="007F5366" w:rsidRDefault="00426D9A" w:rsidP="00F5152B">
            <w:pPr>
              <w:pStyle w:val="ListParagraph"/>
              <w:numPr>
                <w:ilvl w:val="0"/>
                <w:numId w:val="1"/>
              </w:numPr>
              <w:tabs>
                <w:tab w:val="left" w:pos="6915"/>
              </w:tabs>
              <w:rPr>
                <w:rFonts w:ascii="Arial" w:hAnsi="Arial" w:cs="Arial"/>
                <w:sz w:val="22"/>
                <w:szCs w:val="22"/>
              </w:rPr>
            </w:pPr>
          </w:p>
        </w:tc>
        <w:tc>
          <w:tcPr>
            <w:tcW w:w="4937" w:type="dxa"/>
            <w:gridSpan w:val="2"/>
            <w:vMerge/>
            <w:hideMark/>
          </w:tcPr>
          <w:p w:rsidR="00426D9A" w:rsidRPr="007F5366" w:rsidRDefault="00426D9A" w:rsidP="005053D0">
            <w:pPr>
              <w:tabs>
                <w:tab w:val="left" w:pos="6915"/>
              </w:tabs>
              <w:jc w:val="both"/>
              <w:rPr>
                <w:rFonts w:ascii="Arial" w:hAnsi="Arial" w:cs="Arial"/>
                <w:b/>
                <w:bCs/>
                <w:sz w:val="22"/>
                <w:szCs w:val="22"/>
              </w:rPr>
            </w:pPr>
          </w:p>
        </w:tc>
        <w:tc>
          <w:tcPr>
            <w:tcW w:w="2561" w:type="dxa"/>
            <w:vMerge/>
            <w:hideMark/>
          </w:tcPr>
          <w:p w:rsidR="00426D9A" w:rsidRPr="007F5366" w:rsidRDefault="00426D9A" w:rsidP="005053D0">
            <w:pPr>
              <w:tabs>
                <w:tab w:val="left" w:pos="6915"/>
              </w:tabs>
              <w:jc w:val="both"/>
              <w:rPr>
                <w:rFonts w:ascii="Arial" w:hAnsi="Arial" w:cs="Arial"/>
                <w:sz w:val="22"/>
                <w:szCs w:val="22"/>
              </w:rPr>
            </w:pPr>
          </w:p>
        </w:tc>
        <w:tc>
          <w:tcPr>
            <w:tcW w:w="2288" w:type="dxa"/>
            <w:vMerge/>
          </w:tcPr>
          <w:p w:rsidR="00426D9A" w:rsidRPr="007F5366" w:rsidRDefault="00426D9A" w:rsidP="005053D0">
            <w:pPr>
              <w:tabs>
                <w:tab w:val="left" w:pos="6915"/>
              </w:tabs>
              <w:jc w:val="both"/>
              <w:rPr>
                <w:rFonts w:ascii="Arial" w:hAnsi="Arial" w:cs="Arial"/>
                <w:sz w:val="22"/>
                <w:szCs w:val="22"/>
              </w:rPr>
            </w:pPr>
          </w:p>
        </w:tc>
      </w:tr>
      <w:tr w:rsidR="00727CDC" w:rsidRPr="007F5366" w:rsidTr="00922392">
        <w:trPr>
          <w:trHeight w:val="283"/>
          <w:jc w:val="center"/>
        </w:trPr>
        <w:tc>
          <w:tcPr>
            <w:tcW w:w="11558" w:type="dxa"/>
            <w:gridSpan w:val="5"/>
            <w:noWrap/>
            <w:vAlign w:val="center"/>
            <w:hideMark/>
          </w:tcPr>
          <w:p w:rsidR="00AA4885" w:rsidRPr="007F5366" w:rsidRDefault="00AA4885" w:rsidP="002F6414">
            <w:pPr>
              <w:tabs>
                <w:tab w:val="left" w:pos="6915"/>
              </w:tabs>
              <w:rPr>
                <w:rFonts w:ascii="Arial" w:hAnsi="Arial" w:cs="Arial"/>
                <w:sz w:val="22"/>
                <w:szCs w:val="22"/>
              </w:rPr>
            </w:pPr>
          </w:p>
        </w:tc>
      </w:tr>
      <w:tr w:rsidR="00DD7E0D" w:rsidRPr="007F5366" w:rsidTr="00922392">
        <w:trPr>
          <w:trHeight w:val="872"/>
          <w:jc w:val="center"/>
        </w:trPr>
        <w:tc>
          <w:tcPr>
            <w:tcW w:w="1772" w:type="dxa"/>
            <w:noWrap/>
            <w:vAlign w:val="center"/>
            <w:hideMark/>
          </w:tcPr>
          <w:p w:rsidR="00727CDC" w:rsidRPr="007F5366" w:rsidRDefault="00727CDC" w:rsidP="00F5152B">
            <w:pPr>
              <w:pStyle w:val="ListParagraph"/>
              <w:numPr>
                <w:ilvl w:val="0"/>
                <w:numId w:val="1"/>
              </w:numPr>
              <w:tabs>
                <w:tab w:val="left" w:pos="6915"/>
              </w:tabs>
              <w:rPr>
                <w:rFonts w:ascii="Arial" w:hAnsi="Arial" w:cs="Arial"/>
                <w:sz w:val="22"/>
                <w:szCs w:val="22"/>
              </w:rPr>
            </w:pPr>
            <w:r w:rsidRPr="007F5366">
              <w:rPr>
                <w:rFonts w:ascii="Arial" w:hAnsi="Arial" w:cs="Arial"/>
                <w:sz w:val="22"/>
                <w:szCs w:val="22"/>
              </w:rPr>
              <w:t>.</w:t>
            </w:r>
          </w:p>
        </w:tc>
        <w:tc>
          <w:tcPr>
            <w:tcW w:w="9786" w:type="dxa"/>
            <w:gridSpan w:val="4"/>
            <w:vAlign w:val="center"/>
            <w:hideMark/>
          </w:tcPr>
          <w:p w:rsidR="00727CDC" w:rsidRPr="007F5366" w:rsidRDefault="00BC767B" w:rsidP="005765E8">
            <w:pPr>
              <w:tabs>
                <w:tab w:val="left" w:pos="6915"/>
              </w:tabs>
              <w:jc w:val="both"/>
              <w:rPr>
                <w:rFonts w:ascii="Arial" w:hAnsi="Arial" w:cs="Arial"/>
                <w:sz w:val="22"/>
                <w:szCs w:val="22"/>
              </w:rPr>
            </w:pPr>
            <w:r w:rsidRPr="007F5366">
              <w:rPr>
                <w:rFonts w:ascii="Arial" w:hAnsi="Arial" w:cs="Arial"/>
                <w:sz w:val="22"/>
                <w:szCs w:val="22"/>
              </w:rPr>
              <w:t xml:space="preserve">Sekretarijat za uređenje prostora, na osnovu člana 223 Zakona o planiranju prostora i izgradnji objekata („Sl.list CG“ broj 64/17, 44/18, 63/18, 11/19 i 82/20) te člana 8 Odluke o izgradnji lokalnih objekata od opšteg interesa („Sl. list Crne Gore“ – opštinski </w:t>
            </w:r>
            <w:r w:rsidRPr="005765E8">
              <w:rPr>
                <w:rFonts w:ascii="Arial" w:hAnsi="Arial" w:cs="Arial"/>
                <w:sz w:val="22"/>
                <w:szCs w:val="22"/>
              </w:rPr>
              <w:t xml:space="preserve">propisi, broj 18/14,42/15, 28/16 i 7/21) i podnijetog zahtjeva </w:t>
            </w:r>
            <w:r w:rsidRPr="005765E8">
              <w:rPr>
                <w:rFonts w:ascii="Arial" w:hAnsi="Arial" w:cs="Arial"/>
                <w:b/>
                <w:sz w:val="22"/>
                <w:szCs w:val="22"/>
              </w:rPr>
              <w:t xml:space="preserve">Direkcije za investicije Opštine Tivat broj </w:t>
            </w:r>
            <w:r w:rsidR="005765E8" w:rsidRPr="005765E8">
              <w:rPr>
                <w:rFonts w:ascii="Arial" w:hAnsi="Arial" w:cs="Arial"/>
                <w:b/>
                <w:sz w:val="22"/>
                <w:szCs w:val="22"/>
              </w:rPr>
              <w:t>07-333/22</w:t>
            </w:r>
            <w:r w:rsidRPr="005765E8">
              <w:rPr>
                <w:rFonts w:ascii="Arial" w:hAnsi="Arial" w:cs="Arial"/>
                <w:b/>
                <w:sz w:val="22"/>
                <w:szCs w:val="22"/>
              </w:rPr>
              <w:t>-</w:t>
            </w:r>
            <w:r w:rsidR="005765E8" w:rsidRPr="005765E8">
              <w:rPr>
                <w:rFonts w:ascii="Arial" w:hAnsi="Arial" w:cs="Arial"/>
                <w:b/>
                <w:sz w:val="22"/>
                <w:szCs w:val="22"/>
              </w:rPr>
              <w:t>76</w:t>
            </w:r>
            <w:r w:rsidRPr="007F5366">
              <w:rPr>
                <w:rFonts w:ascii="Arial" w:hAnsi="Arial" w:cs="Arial"/>
                <w:sz w:val="22"/>
                <w:szCs w:val="22"/>
              </w:rPr>
              <w:t>, donosi:</w:t>
            </w:r>
          </w:p>
        </w:tc>
      </w:tr>
      <w:tr w:rsidR="00727CDC" w:rsidRPr="007F5366" w:rsidTr="00922392">
        <w:trPr>
          <w:trHeight w:val="283"/>
          <w:jc w:val="center"/>
        </w:trPr>
        <w:tc>
          <w:tcPr>
            <w:tcW w:w="11558" w:type="dxa"/>
            <w:gridSpan w:val="5"/>
            <w:noWrap/>
            <w:vAlign w:val="center"/>
            <w:hideMark/>
          </w:tcPr>
          <w:p w:rsidR="00727CDC" w:rsidRPr="007F5366" w:rsidRDefault="00727CDC" w:rsidP="005053D0">
            <w:pPr>
              <w:pStyle w:val="ListParagraph"/>
              <w:tabs>
                <w:tab w:val="left" w:pos="6915"/>
              </w:tabs>
              <w:rPr>
                <w:rFonts w:ascii="Arial" w:hAnsi="Arial" w:cs="Arial"/>
                <w:sz w:val="22"/>
                <w:szCs w:val="22"/>
              </w:rPr>
            </w:pPr>
          </w:p>
        </w:tc>
      </w:tr>
      <w:tr w:rsidR="00F04485" w:rsidRPr="007F5366" w:rsidTr="00922392">
        <w:trPr>
          <w:trHeight w:val="315"/>
          <w:jc w:val="center"/>
        </w:trPr>
        <w:tc>
          <w:tcPr>
            <w:tcW w:w="1772" w:type="dxa"/>
            <w:vMerge w:val="restart"/>
            <w:noWrap/>
            <w:vAlign w:val="center"/>
            <w:hideMark/>
          </w:tcPr>
          <w:p w:rsidR="00727CDC" w:rsidRPr="007F5366" w:rsidRDefault="00727CDC" w:rsidP="00F5152B">
            <w:pPr>
              <w:pStyle w:val="ListParagraph"/>
              <w:numPr>
                <w:ilvl w:val="0"/>
                <w:numId w:val="1"/>
              </w:numPr>
              <w:tabs>
                <w:tab w:val="left" w:pos="6915"/>
              </w:tabs>
              <w:rPr>
                <w:rFonts w:ascii="Arial" w:hAnsi="Arial" w:cs="Arial"/>
                <w:sz w:val="22"/>
                <w:szCs w:val="22"/>
              </w:rPr>
            </w:pPr>
            <w:r w:rsidRPr="007F5366">
              <w:rPr>
                <w:rFonts w:ascii="Arial" w:hAnsi="Arial" w:cs="Arial"/>
                <w:sz w:val="22"/>
                <w:szCs w:val="22"/>
              </w:rPr>
              <w:t>.</w:t>
            </w:r>
          </w:p>
        </w:tc>
        <w:tc>
          <w:tcPr>
            <w:tcW w:w="9786" w:type="dxa"/>
            <w:gridSpan w:val="4"/>
            <w:noWrap/>
            <w:vAlign w:val="center"/>
            <w:hideMark/>
          </w:tcPr>
          <w:p w:rsidR="00727CDC" w:rsidRPr="007F5366" w:rsidRDefault="00BC767B" w:rsidP="00462E58">
            <w:pPr>
              <w:tabs>
                <w:tab w:val="left" w:pos="6915"/>
              </w:tabs>
              <w:rPr>
                <w:rFonts w:ascii="Arial" w:hAnsi="Arial" w:cs="Arial"/>
                <w:b/>
                <w:bCs/>
                <w:sz w:val="22"/>
                <w:szCs w:val="22"/>
              </w:rPr>
            </w:pPr>
            <w:r w:rsidRPr="007F5366">
              <w:rPr>
                <w:rFonts w:ascii="Arial" w:hAnsi="Arial" w:cs="Arial"/>
                <w:b/>
                <w:bCs/>
                <w:sz w:val="22"/>
                <w:szCs w:val="22"/>
              </w:rPr>
              <w:t>NACRT PROGRAMSKOG  ZADATKA  SA  ELEMENTIMA  URBANISTIČKO-TEHNIČKIH USLOVA</w:t>
            </w:r>
          </w:p>
        </w:tc>
      </w:tr>
      <w:tr w:rsidR="00F04485" w:rsidRPr="007F5366" w:rsidTr="00922392">
        <w:trPr>
          <w:trHeight w:val="300"/>
          <w:jc w:val="center"/>
        </w:trPr>
        <w:tc>
          <w:tcPr>
            <w:tcW w:w="1772" w:type="dxa"/>
            <w:vMerge/>
            <w:vAlign w:val="center"/>
            <w:hideMark/>
          </w:tcPr>
          <w:p w:rsidR="00727CDC" w:rsidRPr="007F5366" w:rsidRDefault="00727CDC" w:rsidP="00F5152B">
            <w:pPr>
              <w:pStyle w:val="ListParagraph"/>
              <w:numPr>
                <w:ilvl w:val="0"/>
                <w:numId w:val="1"/>
              </w:numPr>
              <w:tabs>
                <w:tab w:val="left" w:pos="6915"/>
              </w:tabs>
              <w:rPr>
                <w:rFonts w:ascii="Arial" w:hAnsi="Arial" w:cs="Arial"/>
                <w:sz w:val="22"/>
                <w:szCs w:val="22"/>
              </w:rPr>
            </w:pPr>
          </w:p>
        </w:tc>
        <w:tc>
          <w:tcPr>
            <w:tcW w:w="9786" w:type="dxa"/>
            <w:gridSpan w:val="4"/>
            <w:noWrap/>
            <w:vAlign w:val="center"/>
            <w:hideMark/>
          </w:tcPr>
          <w:p w:rsidR="00727CDC" w:rsidRPr="007F5366" w:rsidRDefault="00727CDC" w:rsidP="005053D0">
            <w:pPr>
              <w:tabs>
                <w:tab w:val="left" w:pos="6915"/>
              </w:tabs>
              <w:rPr>
                <w:rFonts w:ascii="Arial" w:hAnsi="Arial" w:cs="Arial"/>
                <w:b/>
                <w:bCs/>
                <w:sz w:val="22"/>
                <w:szCs w:val="22"/>
              </w:rPr>
            </w:pPr>
            <w:r w:rsidRPr="007F5366">
              <w:rPr>
                <w:rFonts w:ascii="Arial" w:hAnsi="Arial" w:cs="Arial"/>
                <w:b/>
                <w:bCs/>
                <w:sz w:val="22"/>
                <w:szCs w:val="22"/>
              </w:rPr>
              <w:t>za izradu tehničke dokumentacije</w:t>
            </w:r>
          </w:p>
        </w:tc>
      </w:tr>
      <w:tr w:rsidR="00727CDC" w:rsidRPr="007F5366" w:rsidTr="00922392">
        <w:trPr>
          <w:trHeight w:val="283"/>
          <w:jc w:val="center"/>
        </w:trPr>
        <w:tc>
          <w:tcPr>
            <w:tcW w:w="11558" w:type="dxa"/>
            <w:gridSpan w:val="5"/>
            <w:noWrap/>
            <w:vAlign w:val="center"/>
            <w:hideMark/>
          </w:tcPr>
          <w:p w:rsidR="00727CDC" w:rsidRPr="007F5366" w:rsidRDefault="00727CDC" w:rsidP="005053D0">
            <w:pPr>
              <w:pStyle w:val="ListParagraph"/>
              <w:tabs>
                <w:tab w:val="left" w:pos="6915"/>
              </w:tabs>
              <w:rPr>
                <w:rFonts w:ascii="Arial" w:hAnsi="Arial" w:cs="Arial"/>
                <w:b/>
                <w:bCs/>
                <w:sz w:val="22"/>
                <w:szCs w:val="22"/>
              </w:rPr>
            </w:pPr>
          </w:p>
        </w:tc>
      </w:tr>
      <w:tr w:rsidR="00DD7E0D" w:rsidRPr="007F5366" w:rsidTr="00922392">
        <w:trPr>
          <w:trHeight w:val="737"/>
          <w:jc w:val="center"/>
        </w:trPr>
        <w:tc>
          <w:tcPr>
            <w:tcW w:w="1772" w:type="dxa"/>
            <w:vMerge w:val="restart"/>
            <w:noWrap/>
            <w:vAlign w:val="center"/>
            <w:hideMark/>
          </w:tcPr>
          <w:p w:rsidR="00727CDC" w:rsidRPr="007F5366" w:rsidRDefault="00824714" w:rsidP="00F5152B">
            <w:pPr>
              <w:pStyle w:val="ListParagraph"/>
              <w:numPr>
                <w:ilvl w:val="0"/>
                <w:numId w:val="1"/>
              </w:numPr>
              <w:tabs>
                <w:tab w:val="left" w:pos="6915"/>
              </w:tabs>
              <w:rPr>
                <w:rFonts w:ascii="Arial" w:hAnsi="Arial" w:cs="Arial"/>
                <w:sz w:val="22"/>
                <w:szCs w:val="22"/>
              </w:rPr>
            </w:pPr>
            <w:r w:rsidRPr="007F5366">
              <w:rPr>
                <w:rFonts w:ascii="Arial" w:hAnsi="Arial" w:cs="Arial"/>
                <w:sz w:val="22"/>
                <w:szCs w:val="22"/>
              </w:rPr>
              <w:t>.</w:t>
            </w:r>
          </w:p>
        </w:tc>
        <w:tc>
          <w:tcPr>
            <w:tcW w:w="9786" w:type="dxa"/>
            <w:gridSpan w:val="4"/>
            <w:vMerge w:val="restart"/>
            <w:vAlign w:val="center"/>
            <w:hideMark/>
          </w:tcPr>
          <w:p w:rsidR="008F2173" w:rsidRDefault="008F2173" w:rsidP="00D44949">
            <w:pPr>
              <w:jc w:val="both"/>
              <w:rPr>
                <w:rFonts w:ascii="Arial" w:hAnsi="Arial" w:cs="Arial"/>
                <w:sz w:val="22"/>
                <w:szCs w:val="22"/>
              </w:rPr>
            </w:pPr>
          </w:p>
          <w:p w:rsidR="00727CDC" w:rsidRPr="007F5366" w:rsidRDefault="00BC767B" w:rsidP="00922392">
            <w:pPr>
              <w:jc w:val="both"/>
              <w:rPr>
                <w:rFonts w:ascii="Arial" w:hAnsi="Arial" w:cs="Arial"/>
                <w:sz w:val="22"/>
                <w:szCs w:val="22"/>
              </w:rPr>
            </w:pPr>
            <w:r w:rsidRPr="007F5366">
              <w:rPr>
                <w:rFonts w:ascii="Arial" w:hAnsi="Arial" w:cs="Arial"/>
                <w:sz w:val="22"/>
                <w:szCs w:val="22"/>
              </w:rPr>
              <w:t xml:space="preserve">za </w:t>
            </w:r>
            <w:r w:rsidRPr="007F5366">
              <w:rPr>
                <w:rFonts w:ascii="Arial" w:hAnsi="Arial" w:cs="Arial"/>
                <w:b/>
                <w:sz w:val="22"/>
                <w:szCs w:val="22"/>
              </w:rPr>
              <w:t xml:space="preserve">izgradnju </w:t>
            </w:r>
            <w:r w:rsidRPr="007F5366">
              <w:rPr>
                <w:rFonts w:ascii="Arial" w:hAnsi="Arial" w:cs="Arial"/>
                <w:sz w:val="22"/>
                <w:szCs w:val="22"/>
              </w:rPr>
              <w:t xml:space="preserve">lokalnog objekta od opšteg interesa – </w:t>
            </w:r>
            <w:r w:rsidR="0015361D">
              <w:rPr>
                <w:rFonts w:ascii="Arial" w:hAnsi="Arial" w:cs="Arial"/>
                <w:b/>
                <w:sz w:val="22"/>
                <w:szCs w:val="22"/>
              </w:rPr>
              <w:t>Infrastrukture</w:t>
            </w:r>
            <w:r w:rsidR="00226D34">
              <w:rPr>
                <w:rFonts w:ascii="Arial" w:hAnsi="Arial" w:cs="Arial"/>
                <w:b/>
                <w:sz w:val="22"/>
                <w:szCs w:val="22"/>
              </w:rPr>
              <w:t xml:space="preserve"> </w:t>
            </w:r>
            <w:r w:rsidR="0015361D">
              <w:rPr>
                <w:rFonts w:ascii="Arial" w:hAnsi="Arial" w:cs="Arial"/>
                <w:b/>
                <w:sz w:val="22"/>
                <w:szCs w:val="22"/>
              </w:rPr>
              <w:t>(vodovodne i kanalizacione)</w:t>
            </w:r>
            <w:r w:rsidR="000A01E9">
              <w:rPr>
                <w:rFonts w:ascii="Arial" w:hAnsi="Arial" w:cs="Arial"/>
                <w:b/>
                <w:sz w:val="22"/>
                <w:szCs w:val="22"/>
              </w:rPr>
              <w:t xml:space="preserve"> </w:t>
            </w:r>
            <w:r w:rsidR="00922392">
              <w:rPr>
                <w:rFonts w:ascii="Arial" w:hAnsi="Arial" w:cs="Arial"/>
                <w:b/>
                <w:sz w:val="22"/>
                <w:szCs w:val="22"/>
              </w:rPr>
              <w:t>u trupu šetališta od</w:t>
            </w:r>
            <w:r w:rsidR="000A01E9">
              <w:rPr>
                <w:rFonts w:ascii="Arial" w:hAnsi="Arial" w:cs="Arial"/>
                <w:b/>
                <w:sz w:val="22"/>
                <w:szCs w:val="22"/>
              </w:rPr>
              <w:t xml:space="preserve"> Sv.Roka do Lepetana </w:t>
            </w:r>
            <w:r w:rsidR="00D44949" w:rsidRPr="00D44949">
              <w:rPr>
                <w:rFonts w:ascii="Arial" w:hAnsi="Arial" w:cs="Arial"/>
                <w:b/>
                <w:sz w:val="22"/>
                <w:szCs w:val="22"/>
              </w:rPr>
              <w:t xml:space="preserve">, </w:t>
            </w:r>
            <w:r w:rsidR="00D44949" w:rsidRPr="00D44949">
              <w:rPr>
                <w:rFonts w:ascii="Arial" w:hAnsi="Arial" w:cs="Arial"/>
                <w:sz w:val="22"/>
                <w:szCs w:val="22"/>
              </w:rPr>
              <w:t xml:space="preserve">a </w:t>
            </w:r>
            <w:r w:rsidR="000A01E9">
              <w:rPr>
                <w:rFonts w:ascii="Arial" w:hAnsi="Arial" w:cs="Arial"/>
                <w:sz w:val="22"/>
                <w:szCs w:val="22"/>
              </w:rPr>
              <w:t>preko</w:t>
            </w:r>
            <w:r w:rsidR="00D44949" w:rsidRPr="00D44949">
              <w:rPr>
                <w:rFonts w:ascii="Arial" w:hAnsi="Arial" w:cs="Arial"/>
                <w:sz w:val="22"/>
                <w:szCs w:val="22"/>
              </w:rPr>
              <w:t xml:space="preserve"> kat.</w:t>
            </w:r>
            <w:r w:rsidR="00D44949" w:rsidRPr="00922392">
              <w:rPr>
                <w:rFonts w:ascii="Arial" w:hAnsi="Arial" w:cs="Arial"/>
                <w:sz w:val="22"/>
                <w:szCs w:val="22"/>
              </w:rPr>
              <w:t>parc.br.</w:t>
            </w:r>
            <w:r w:rsidR="00922392" w:rsidRPr="00922392">
              <w:rPr>
                <w:rFonts w:ascii="Arial" w:hAnsi="Arial" w:cs="Arial"/>
                <w:sz w:val="22"/>
                <w:szCs w:val="22"/>
              </w:rPr>
              <w:t>482 i 472</w:t>
            </w:r>
            <w:r w:rsidR="00D44949" w:rsidRPr="00922392">
              <w:rPr>
                <w:rFonts w:ascii="Arial" w:hAnsi="Arial" w:cs="Arial"/>
                <w:sz w:val="22"/>
                <w:szCs w:val="22"/>
              </w:rPr>
              <w:t xml:space="preserve"> sve KO </w:t>
            </w:r>
            <w:r w:rsidR="00922392" w:rsidRPr="00922392">
              <w:rPr>
                <w:rFonts w:ascii="Arial" w:hAnsi="Arial" w:cs="Arial"/>
                <w:sz w:val="22"/>
                <w:szCs w:val="22"/>
              </w:rPr>
              <w:t>Lepetani i 745</w:t>
            </w:r>
            <w:r w:rsidR="00922392">
              <w:rPr>
                <w:rFonts w:ascii="Arial" w:hAnsi="Arial" w:cs="Arial"/>
                <w:sz w:val="22"/>
                <w:szCs w:val="22"/>
              </w:rPr>
              <w:t xml:space="preserve"> KO Donja Lastva</w:t>
            </w:r>
            <w:r w:rsidR="00004A1F">
              <w:t xml:space="preserve"> </w:t>
            </w:r>
            <w:r w:rsidR="00004A1F" w:rsidRPr="00004A1F">
              <w:rPr>
                <w:rFonts w:ascii="Arial" w:hAnsi="Arial" w:cs="Arial"/>
                <w:sz w:val="22"/>
                <w:szCs w:val="22"/>
              </w:rPr>
              <w:t>u obuhvatu PUP-a (Prostorno-urbanističkog plana) Tivta do 2020.godine (»Sl.list CG-opštinski propisi« br. 24/2010)</w:t>
            </w:r>
          </w:p>
        </w:tc>
      </w:tr>
      <w:tr w:rsidR="00F04485" w:rsidRPr="007F5366" w:rsidTr="00922392">
        <w:trPr>
          <w:trHeight w:val="253"/>
          <w:jc w:val="center"/>
        </w:trPr>
        <w:tc>
          <w:tcPr>
            <w:tcW w:w="1772" w:type="dxa"/>
            <w:vMerge/>
            <w:vAlign w:val="center"/>
            <w:hideMark/>
          </w:tcPr>
          <w:p w:rsidR="00727CDC" w:rsidRPr="007F5366" w:rsidRDefault="00727CDC" w:rsidP="00F5152B">
            <w:pPr>
              <w:pStyle w:val="ListParagraph"/>
              <w:numPr>
                <w:ilvl w:val="0"/>
                <w:numId w:val="1"/>
              </w:numPr>
              <w:tabs>
                <w:tab w:val="left" w:pos="6915"/>
              </w:tabs>
              <w:rPr>
                <w:rFonts w:ascii="Arial" w:hAnsi="Arial" w:cs="Arial"/>
                <w:sz w:val="22"/>
                <w:szCs w:val="22"/>
              </w:rPr>
            </w:pPr>
          </w:p>
        </w:tc>
        <w:tc>
          <w:tcPr>
            <w:tcW w:w="9786" w:type="dxa"/>
            <w:gridSpan w:val="4"/>
            <w:vMerge/>
            <w:hideMark/>
          </w:tcPr>
          <w:p w:rsidR="00727CDC" w:rsidRPr="007F5366" w:rsidRDefault="00727CDC" w:rsidP="005053D0">
            <w:pPr>
              <w:tabs>
                <w:tab w:val="left" w:pos="6915"/>
              </w:tabs>
              <w:jc w:val="both"/>
              <w:rPr>
                <w:rFonts w:ascii="Arial" w:hAnsi="Arial" w:cs="Arial"/>
                <w:sz w:val="22"/>
                <w:szCs w:val="22"/>
              </w:rPr>
            </w:pPr>
          </w:p>
        </w:tc>
      </w:tr>
      <w:tr w:rsidR="00727CDC" w:rsidRPr="007F5366" w:rsidTr="00922392">
        <w:trPr>
          <w:trHeight w:val="283"/>
          <w:jc w:val="center"/>
        </w:trPr>
        <w:tc>
          <w:tcPr>
            <w:tcW w:w="11558" w:type="dxa"/>
            <w:gridSpan w:val="5"/>
            <w:noWrap/>
            <w:vAlign w:val="center"/>
            <w:hideMark/>
          </w:tcPr>
          <w:p w:rsidR="00727CDC" w:rsidRPr="007F5366" w:rsidRDefault="00727CDC" w:rsidP="005053D0">
            <w:pPr>
              <w:pStyle w:val="ListParagraph"/>
              <w:tabs>
                <w:tab w:val="left" w:pos="6915"/>
              </w:tabs>
              <w:rPr>
                <w:rFonts w:ascii="Arial" w:hAnsi="Arial" w:cs="Arial"/>
                <w:sz w:val="22"/>
                <w:szCs w:val="22"/>
              </w:rPr>
            </w:pPr>
          </w:p>
        </w:tc>
      </w:tr>
      <w:tr w:rsidR="00DD7E0D" w:rsidRPr="007F5366" w:rsidTr="00922392">
        <w:trPr>
          <w:trHeight w:val="297"/>
          <w:jc w:val="center"/>
        </w:trPr>
        <w:tc>
          <w:tcPr>
            <w:tcW w:w="1772" w:type="dxa"/>
            <w:noWrap/>
            <w:vAlign w:val="center"/>
            <w:hideMark/>
          </w:tcPr>
          <w:p w:rsidR="00727CDC" w:rsidRPr="007F5366" w:rsidRDefault="00727CDC" w:rsidP="00F5152B">
            <w:pPr>
              <w:pStyle w:val="ListParagraph"/>
              <w:numPr>
                <w:ilvl w:val="0"/>
                <w:numId w:val="1"/>
              </w:numPr>
              <w:tabs>
                <w:tab w:val="left" w:pos="6915"/>
              </w:tabs>
              <w:rPr>
                <w:rFonts w:ascii="Arial" w:hAnsi="Arial" w:cs="Arial"/>
                <w:sz w:val="22"/>
                <w:szCs w:val="22"/>
              </w:rPr>
            </w:pPr>
            <w:r w:rsidRPr="007F5366">
              <w:rPr>
                <w:rFonts w:ascii="Arial" w:hAnsi="Arial" w:cs="Arial"/>
                <w:sz w:val="22"/>
                <w:szCs w:val="22"/>
              </w:rPr>
              <w:t>.</w:t>
            </w:r>
          </w:p>
        </w:tc>
        <w:tc>
          <w:tcPr>
            <w:tcW w:w="4937" w:type="dxa"/>
            <w:gridSpan w:val="2"/>
            <w:noWrap/>
            <w:vAlign w:val="center"/>
            <w:hideMark/>
          </w:tcPr>
          <w:p w:rsidR="00727CDC" w:rsidRPr="007F5366" w:rsidRDefault="008B089E" w:rsidP="009623F1">
            <w:pPr>
              <w:tabs>
                <w:tab w:val="left" w:pos="6915"/>
              </w:tabs>
              <w:rPr>
                <w:rFonts w:ascii="Arial" w:hAnsi="Arial" w:cs="Arial"/>
                <w:b/>
                <w:bCs/>
                <w:sz w:val="22"/>
                <w:szCs w:val="22"/>
              </w:rPr>
            </w:pPr>
            <w:r w:rsidRPr="007F5366">
              <w:rPr>
                <w:rFonts w:ascii="Arial" w:hAnsi="Arial" w:cs="Arial"/>
                <w:b/>
                <w:bCs/>
                <w:sz w:val="22"/>
                <w:szCs w:val="22"/>
              </w:rPr>
              <w:t>PODNOSI</w:t>
            </w:r>
            <w:r w:rsidR="009623F1">
              <w:rPr>
                <w:rFonts w:ascii="Arial" w:hAnsi="Arial" w:cs="Arial"/>
                <w:b/>
                <w:bCs/>
                <w:sz w:val="22"/>
                <w:szCs w:val="22"/>
              </w:rPr>
              <w:t>LAC</w:t>
            </w:r>
            <w:r w:rsidRPr="007F5366">
              <w:rPr>
                <w:rFonts w:ascii="Arial" w:hAnsi="Arial" w:cs="Arial"/>
                <w:b/>
                <w:bCs/>
                <w:sz w:val="22"/>
                <w:szCs w:val="22"/>
              </w:rPr>
              <w:t xml:space="preserve"> ZAHTJEVA</w:t>
            </w:r>
            <w:r w:rsidR="00727CDC" w:rsidRPr="007F5366">
              <w:rPr>
                <w:rFonts w:ascii="Arial" w:hAnsi="Arial" w:cs="Arial"/>
                <w:b/>
                <w:bCs/>
                <w:sz w:val="22"/>
                <w:szCs w:val="22"/>
              </w:rPr>
              <w:t>:</w:t>
            </w:r>
          </w:p>
        </w:tc>
        <w:tc>
          <w:tcPr>
            <w:tcW w:w="4849" w:type="dxa"/>
            <w:gridSpan w:val="2"/>
            <w:noWrap/>
            <w:hideMark/>
          </w:tcPr>
          <w:p w:rsidR="00727CDC" w:rsidRPr="007F5366" w:rsidRDefault="00BC767B" w:rsidP="0074199D">
            <w:pPr>
              <w:tabs>
                <w:tab w:val="left" w:pos="6915"/>
              </w:tabs>
              <w:jc w:val="both"/>
              <w:rPr>
                <w:rFonts w:ascii="Arial" w:hAnsi="Arial" w:cs="Arial"/>
                <w:b/>
                <w:sz w:val="22"/>
                <w:szCs w:val="22"/>
              </w:rPr>
            </w:pPr>
            <w:r w:rsidRPr="007F5366">
              <w:rPr>
                <w:rFonts w:ascii="Arial" w:hAnsi="Arial" w:cs="Arial"/>
                <w:b/>
                <w:sz w:val="22"/>
                <w:szCs w:val="22"/>
              </w:rPr>
              <w:t>Direkcija za investicije</w:t>
            </w:r>
          </w:p>
        </w:tc>
      </w:tr>
      <w:tr w:rsidR="00727CDC" w:rsidRPr="007F5366" w:rsidTr="00922392">
        <w:trPr>
          <w:trHeight w:val="274"/>
          <w:jc w:val="center"/>
        </w:trPr>
        <w:tc>
          <w:tcPr>
            <w:tcW w:w="11558" w:type="dxa"/>
            <w:gridSpan w:val="5"/>
            <w:noWrap/>
            <w:vAlign w:val="center"/>
            <w:hideMark/>
          </w:tcPr>
          <w:p w:rsidR="00727CDC" w:rsidRPr="007F5366" w:rsidRDefault="00727CDC" w:rsidP="005053D0">
            <w:pPr>
              <w:pStyle w:val="ListParagraph"/>
              <w:tabs>
                <w:tab w:val="left" w:pos="6915"/>
              </w:tabs>
              <w:rPr>
                <w:rFonts w:ascii="Arial" w:hAnsi="Arial" w:cs="Arial"/>
                <w:sz w:val="22"/>
                <w:szCs w:val="22"/>
              </w:rPr>
            </w:pPr>
          </w:p>
        </w:tc>
      </w:tr>
      <w:tr w:rsidR="00F04485" w:rsidRPr="007F5366" w:rsidTr="00922392">
        <w:trPr>
          <w:trHeight w:val="387"/>
          <w:jc w:val="center"/>
        </w:trPr>
        <w:tc>
          <w:tcPr>
            <w:tcW w:w="1772" w:type="dxa"/>
            <w:noWrap/>
            <w:vAlign w:val="center"/>
            <w:hideMark/>
          </w:tcPr>
          <w:p w:rsidR="00727CDC" w:rsidRPr="007F5366" w:rsidRDefault="00727CDC" w:rsidP="00F5152B">
            <w:pPr>
              <w:pStyle w:val="ListParagraph"/>
              <w:numPr>
                <w:ilvl w:val="0"/>
                <w:numId w:val="1"/>
              </w:numPr>
              <w:tabs>
                <w:tab w:val="left" w:pos="6915"/>
              </w:tabs>
              <w:spacing w:before="240"/>
              <w:rPr>
                <w:rFonts w:ascii="Arial" w:hAnsi="Arial" w:cs="Arial"/>
                <w:sz w:val="22"/>
                <w:szCs w:val="22"/>
              </w:rPr>
            </w:pPr>
            <w:r w:rsidRPr="007F5366">
              <w:rPr>
                <w:rFonts w:ascii="Arial" w:hAnsi="Arial" w:cs="Arial"/>
                <w:sz w:val="22"/>
                <w:szCs w:val="22"/>
              </w:rPr>
              <w:t>.</w:t>
            </w:r>
          </w:p>
        </w:tc>
        <w:tc>
          <w:tcPr>
            <w:tcW w:w="9786" w:type="dxa"/>
            <w:gridSpan w:val="4"/>
            <w:noWrap/>
            <w:vAlign w:val="center"/>
            <w:hideMark/>
          </w:tcPr>
          <w:p w:rsidR="00727CDC" w:rsidRPr="007F5366" w:rsidRDefault="00727CDC" w:rsidP="00DC1A46">
            <w:pPr>
              <w:tabs>
                <w:tab w:val="left" w:pos="6915"/>
              </w:tabs>
              <w:spacing w:before="240"/>
              <w:rPr>
                <w:rFonts w:ascii="Arial" w:hAnsi="Arial" w:cs="Arial"/>
                <w:b/>
                <w:bCs/>
                <w:sz w:val="22"/>
                <w:szCs w:val="22"/>
              </w:rPr>
            </w:pPr>
            <w:r w:rsidRPr="007F5366">
              <w:rPr>
                <w:rFonts w:ascii="Arial" w:hAnsi="Arial" w:cs="Arial"/>
                <w:b/>
                <w:bCs/>
                <w:sz w:val="22"/>
                <w:szCs w:val="22"/>
              </w:rPr>
              <w:t>POSTOJEĆE STANJE</w:t>
            </w:r>
            <w:r w:rsidR="0015361D">
              <w:rPr>
                <w:rFonts w:ascii="Arial" w:hAnsi="Arial" w:cs="Arial"/>
                <w:b/>
                <w:bCs/>
                <w:sz w:val="22"/>
                <w:szCs w:val="22"/>
              </w:rPr>
              <w:t>-analiza lokacije</w:t>
            </w:r>
          </w:p>
        </w:tc>
      </w:tr>
      <w:tr w:rsidR="00727CDC" w:rsidRPr="007F5366" w:rsidTr="00226D34">
        <w:trPr>
          <w:trHeight w:val="987"/>
          <w:jc w:val="center"/>
        </w:trPr>
        <w:tc>
          <w:tcPr>
            <w:tcW w:w="1772" w:type="dxa"/>
            <w:noWrap/>
            <w:vAlign w:val="center"/>
            <w:hideMark/>
          </w:tcPr>
          <w:p w:rsidR="00727CDC" w:rsidRPr="007F5366" w:rsidRDefault="00727CDC" w:rsidP="00DC1A46">
            <w:pPr>
              <w:pStyle w:val="ListParagraph"/>
              <w:tabs>
                <w:tab w:val="left" w:pos="6915"/>
              </w:tabs>
              <w:rPr>
                <w:rFonts w:ascii="Arial" w:hAnsi="Arial" w:cs="Arial"/>
                <w:i/>
                <w:sz w:val="22"/>
                <w:szCs w:val="22"/>
              </w:rPr>
            </w:pPr>
          </w:p>
        </w:tc>
        <w:tc>
          <w:tcPr>
            <w:tcW w:w="9786" w:type="dxa"/>
            <w:gridSpan w:val="4"/>
            <w:noWrap/>
          </w:tcPr>
          <w:p w:rsidR="00842DE8" w:rsidRPr="007F5366" w:rsidRDefault="00842DE8" w:rsidP="005D0491">
            <w:pPr>
              <w:jc w:val="both"/>
              <w:rPr>
                <w:rFonts w:ascii="Arial" w:hAnsi="Arial" w:cs="Arial"/>
                <w:b/>
                <w:i/>
                <w:sz w:val="22"/>
                <w:szCs w:val="22"/>
              </w:rPr>
            </w:pPr>
          </w:p>
          <w:p w:rsidR="00081758" w:rsidRPr="007F5366" w:rsidRDefault="00E73A93" w:rsidP="00081758">
            <w:pPr>
              <w:jc w:val="both"/>
              <w:rPr>
                <w:rFonts w:ascii="Arial" w:hAnsi="Arial" w:cs="Arial"/>
                <w:sz w:val="22"/>
                <w:szCs w:val="22"/>
              </w:rPr>
            </w:pPr>
            <w:r w:rsidRPr="007F5366">
              <w:rPr>
                <w:rFonts w:ascii="Arial" w:hAnsi="Arial" w:cs="Arial"/>
                <w:sz w:val="22"/>
                <w:szCs w:val="22"/>
              </w:rPr>
              <w:t>Predmetna loklacija se nalazi</w:t>
            </w:r>
            <w:r w:rsidR="00081758" w:rsidRPr="007F5366">
              <w:rPr>
                <w:rFonts w:ascii="Arial" w:hAnsi="Arial" w:cs="Arial"/>
                <w:sz w:val="22"/>
                <w:szCs w:val="22"/>
              </w:rPr>
              <w:t xml:space="preserve"> </w:t>
            </w:r>
            <w:r w:rsidRPr="007F5366">
              <w:rPr>
                <w:rFonts w:ascii="Arial" w:hAnsi="Arial" w:cs="Arial"/>
                <w:sz w:val="22"/>
                <w:szCs w:val="22"/>
              </w:rPr>
              <w:t xml:space="preserve">u </w:t>
            </w:r>
            <w:r w:rsidR="00AE60E4">
              <w:rPr>
                <w:rFonts w:ascii="Arial" w:hAnsi="Arial" w:cs="Arial"/>
                <w:sz w:val="22"/>
                <w:szCs w:val="22"/>
              </w:rPr>
              <w:t>obuhvatu Prostorno-</w:t>
            </w:r>
            <w:r w:rsidR="00AE60E4">
              <w:t xml:space="preserve"> </w:t>
            </w:r>
            <w:r w:rsidR="00AE60E4">
              <w:rPr>
                <w:rFonts w:ascii="Arial" w:hAnsi="Arial" w:cs="Arial"/>
                <w:sz w:val="22"/>
                <w:szCs w:val="22"/>
              </w:rPr>
              <w:t>urbanističkog plana Tivta u naselj</w:t>
            </w:r>
            <w:r w:rsidR="008A694E">
              <w:rPr>
                <w:rFonts w:ascii="Arial" w:hAnsi="Arial" w:cs="Arial"/>
                <w:sz w:val="22"/>
                <w:szCs w:val="22"/>
              </w:rPr>
              <w:t xml:space="preserve">ima Donja Lastva i </w:t>
            </w:r>
            <w:r w:rsidR="00AE60E4">
              <w:rPr>
                <w:rFonts w:ascii="Arial" w:hAnsi="Arial" w:cs="Arial"/>
                <w:sz w:val="22"/>
                <w:szCs w:val="22"/>
              </w:rPr>
              <w:t xml:space="preserve"> </w:t>
            </w:r>
            <w:r w:rsidR="000A01E9">
              <w:rPr>
                <w:rFonts w:ascii="Arial" w:hAnsi="Arial" w:cs="Arial"/>
                <w:sz w:val="22"/>
                <w:szCs w:val="22"/>
              </w:rPr>
              <w:t>Lepetani</w:t>
            </w:r>
            <w:r w:rsidR="00AE60E4">
              <w:rPr>
                <w:rFonts w:ascii="Arial" w:hAnsi="Arial" w:cs="Arial"/>
                <w:sz w:val="22"/>
                <w:szCs w:val="22"/>
              </w:rPr>
              <w:t>.</w:t>
            </w:r>
          </w:p>
          <w:p w:rsidR="00FA0557" w:rsidRPr="007F5366" w:rsidRDefault="00FA0557" w:rsidP="00081758">
            <w:pPr>
              <w:jc w:val="both"/>
              <w:rPr>
                <w:rFonts w:ascii="Arial" w:hAnsi="Arial" w:cs="Arial"/>
                <w:sz w:val="22"/>
                <w:szCs w:val="22"/>
              </w:rPr>
            </w:pPr>
          </w:p>
          <w:p w:rsidR="00A2340B" w:rsidRDefault="00081758" w:rsidP="00734383">
            <w:pPr>
              <w:jc w:val="both"/>
              <w:rPr>
                <w:rFonts w:ascii="Arial" w:hAnsi="Arial" w:cs="Arial"/>
                <w:sz w:val="22"/>
                <w:szCs w:val="22"/>
              </w:rPr>
            </w:pPr>
            <w:r w:rsidRPr="00922392">
              <w:rPr>
                <w:rFonts w:ascii="Arial" w:hAnsi="Arial" w:cs="Arial"/>
                <w:sz w:val="22"/>
                <w:szCs w:val="22"/>
              </w:rPr>
              <w:t xml:space="preserve">Prema Listu nepokretnosti broj </w:t>
            </w:r>
            <w:r w:rsidR="00922392" w:rsidRPr="00922392">
              <w:rPr>
                <w:rFonts w:ascii="Arial" w:hAnsi="Arial" w:cs="Arial"/>
                <w:sz w:val="22"/>
                <w:szCs w:val="22"/>
              </w:rPr>
              <w:t>40</w:t>
            </w:r>
            <w:r w:rsidRPr="00922392">
              <w:rPr>
                <w:rFonts w:ascii="Arial" w:hAnsi="Arial" w:cs="Arial"/>
                <w:sz w:val="22"/>
                <w:szCs w:val="22"/>
              </w:rPr>
              <w:t xml:space="preserve">, na kat.par.br. </w:t>
            </w:r>
            <w:r w:rsidR="00922392" w:rsidRPr="00922392">
              <w:rPr>
                <w:rFonts w:ascii="Arial" w:hAnsi="Arial" w:cs="Arial"/>
                <w:b/>
                <w:sz w:val="22"/>
                <w:szCs w:val="22"/>
              </w:rPr>
              <w:t>482</w:t>
            </w:r>
            <w:r w:rsidRPr="00922392">
              <w:rPr>
                <w:rFonts w:ascii="Arial" w:hAnsi="Arial" w:cs="Arial"/>
                <w:b/>
                <w:sz w:val="22"/>
                <w:szCs w:val="22"/>
              </w:rPr>
              <w:t xml:space="preserve"> </w:t>
            </w:r>
            <w:r w:rsidR="00922392" w:rsidRPr="00922392">
              <w:rPr>
                <w:rFonts w:ascii="Arial" w:hAnsi="Arial" w:cs="Arial"/>
                <w:b/>
                <w:sz w:val="22"/>
                <w:szCs w:val="22"/>
              </w:rPr>
              <w:t>KO Lepetane</w:t>
            </w:r>
            <w:r w:rsidR="00922392">
              <w:rPr>
                <w:rFonts w:ascii="Arial" w:hAnsi="Arial" w:cs="Arial"/>
                <w:sz w:val="22"/>
                <w:szCs w:val="22"/>
              </w:rPr>
              <w:t xml:space="preserve">, </w:t>
            </w:r>
            <w:r w:rsidRPr="00922392">
              <w:rPr>
                <w:rFonts w:ascii="Arial" w:hAnsi="Arial" w:cs="Arial"/>
                <w:sz w:val="22"/>
                <w:szCs w:val="22"/>
              </w:rPr>
              <w:t xml:space="preserve">površine </w:t>
            </w:r>
            <w:r w:rsidR="00922392" w:rsidRPr="00922392">
              <w:rPr>
                <w:rFonts w:ascii="Arial" w:hAnsi="Arial" w:cs="Arial"/>
                <w:b/>
                <w:sz w:val="22"/>
                <w:szCs w:val="22"/>
              </w:rPr>
              <w:t>206</w:t>
            </w:r>
            <w:r w:rsidR="00734383" w:rsidRPr="00922392">
              <w:rPr>
                <w:rFonts w:ascii="Arial" w:hAnsi="Arial" w:cs="Arial"/>
                <w:b/>
                <w:sz w:val="22"/>
                <w:szCs w:val="22"/>
              </w:rPr>
              <w:t xml:space="preserve"> </w:t>
            </w:r>
            <w:r w:rsidRPr="00922392">
              <w:rPr>
                <w:rFonts w:ascii="Arial" w:hAnsi="Arial" w:cs="Arial"/>
                <w:b/>
                <w:sz w:val="22"/>
                <w:szCs w:val="22"/>
              </w:rPr>
              <w:t>m²</w:t>
            </w:r>
            <w:r w:rsidRPr="00922392">
              <w:rPr>
                <w:rFonts w:ascii="Arial" w:hAnsi="Arial" w:cs="Arial"/>
                <w:sz w:val="22"/>
                <w:szCs w:val="22"/>
              </w:rPr>
              <w:t xml:space="preserve"> </w:t>
            </w:r>
            <w:r w:rsidR="00734383" w:rsidRPr="00922392">
              <w:rPr>
                <w:rFonts w:ascii="Arial" w:hAnsi="Arial" w:cs="Arial"/>
                <w:sz w:val="22"/>
                <w:szCs w:val="22"/>
              </w:rPr>
              <w:t>nema evidentira</w:t>
            </w:r>
            <w:r w:rsidR="00922392" w:rsidRPr="00922392">
              <w:rPr>
                <w:rFonts w:ascii="Arial" w:hAnsi="Arial" w:cs="Arial"/>
                <w:sz w:val="22"/>
                <w:szCs w:val="22"/>
              </w:rPr>
              <w:t>nih objekata i ista predstavlja „neplodno zemljište“ na kome pravo svojine ima Crna Gora, a pravo raspolaganja Vlada Crne Gore.</w:t>
            </w:r>
          </w:p>
          <w:p w:rsidR="00922392" w:rsidRDefault="00922392" w:rsidP="00922392">
            <w:pPr>
              <w:jc w:val="both"/>
              <w:rPr>
                <w:rFonts w:ascii="Arial" w:hAnsi="Arial" w:cs="Arial"/>
                <w:sz w:val="22"/>
                <w:szCs w:val="22"/>
              </w:rPr>
            </w:pPr>
            <w:r w:rsidRPr="00922392">
              <w:rPr>
                <w:rFonts w:ascii="Arial" w:hAnsi="Arial" w:cs="Arial"/>
                <w:sz w:val="22"/>
                <w:szCs w:val="22"/>
              </w:rPr>
              <w:t xml:space="preserve">Prema Listu nepokretnosti broj </w:t>
            </w:r>
            <w:r w:rsidR="00226D34">
              <w:rPr>
                <w:rFonts w:ascii="Arial" w:hAnsi="Arial" w:cs="Arial"/>
                <w:sz w:val="22"/>
                <w:szCs w:val="22"/>
              </w:rPr>
              <w:t>322</w:t>
            </w:r>
            <w:r w:rsidRPr="00922392">
              <w:rPr>
                <w:rFonts w:ascii="Arial" w:hAnsi="Arial" w:cs="Arial"/>
                <w:sz w:val="22"/>
                <w:szCs w:val="22"/>
              </w:rPr>
              <w:t xml:space="preserve">, na kat.par.br. </w:t>
            </w:r>
            <w:r w:rsidRPr="00922392">
              <w:rPr>
                <w:rFonts w:ascii="Arial" w:hAnsi="Arial" w:cs="Arial"/>
                <w:b/>
                <w:sz w:val="22"/>
                <w:szCs w:val="22"/>
              </w:rPr>
              <w:t>4</w:t>
            </w:r>
            <w:r w:rsidR="00226D34">
              <w:rPr>
                <w:rFonts w:ascii="Arial" w:hAnsi="Arial" w:cs="Arial"/>
                <w:b/>
                <w:sz w:val="22"/>
                <w:szCs w:val="22"/>
              </w:rPr>
              <w:t>7</w:t>
            </w:r>
            <w:r w:rsidRPr="00922392">
              <w:rPr>
                <w:rFonts w:ascii="Arial" w:hAnsi="Arial" w:cs="Arial"/>
                <w:b/>
                <w:sz w:val="22"/>
                <w:szCs w:val="22"/>
              </w:rPr>
              <w:t>2 KO L</w:t>
            </w:r>
            <w:r>
              <w:rPr>
                <w:rFonts w:ascii="Arial" w:hAnsi="Arial" w:cs="Arial"/>
                <w:sz w:val="22"/>
                <w:szCs w:val="22"/>
              </w:rPr>
              <w:t xml:space="preserve">epetane, </w:t>
            </w:r>
            <w:r w:rsidRPr="00922392">
              <w:rPr>
                <w:rFonts w:ascii="Arial" w:hAnsi="Arial" w:cs="Arial"/>
                <w:sz w:val="22"/>
                <w:szCs w:val="22"/>
              </w:rPr>
              <w:t xml:space="preserve">površine </w:t>
            </w:r>
            <w:r w:rsidR="00226D34">
              <w:rPr>
                <w:rFonts w:ascii="Arial" w:hAnsi="Arial" w:cs="Arial"/>
                <w:b/>
                <w:sz w:val="22"/>
                <w:szCs w:val="22"/>
              </w:rPr>
              <w:t>15 129</w:t>
            </w:r>
            <w:r w:rsidRPr="00922392">
              <w:rPr>
                <w:rFonts w:ascii="Arial" w:hAnsi="Arial" w:cs="Arial"/>
                <w:b/>
                <w:sz w:val="22"/>
                <w:szCs w:val="22"/>
              </w:rPr>
              <w:t xml:space="preserve"> m²</w:t>
            </w:r>
            <w:r w:rsidRPr="00922392">
              <w:rPr>
                <w:rFonts w:ascii="Arial" w:hAnsi="Arial" w:cs="Arial"/>
                <w:sz w:val="22"/>
                <w:szCs w:val="22"/>
              </w:rPr>
              <w:t xml:space="preserve"> nema evidentiranih objekata i ista predstavlja „</w:t>
            </w:r>
            <w:r w:rsidR="00226D34">
              <w:rPr>
                <w:rFonts w:ascii="Arial" w:hAnsi="Arial" w:cs="Arial"/>
                <w:sz w:val="22"/>
                <w:szCs w:val="22"/>
              </w:rPr>
              <w:t>javni put</w:t>
            </w:r>
            <w:r w:rsidRPr="00922392">
              <w:rPr>
                <w:rFonts w:ascii="Arial" w:hAnsi="Arial" w:cs="Arial"/>
                <w:sz w:val="22"/>
                <w:szCs w:val="22"/>
              </w:rPr>
              <w:t>“ na kome pravo svojine ima Crna Gora, a pravo raspolaganja Vlada Crne Gore.</w:t>
            </w:r>
          </w:p>
          <w:p w:rsidR="00226D34" w:rsidRDefault="00226D34" w:rsidP="00226D34">
            <w:pPr>
              <w:jc w:val="both"/>
              <w:rPr>
                <w:rFonts w:ascii="Arial" w:hAnsi="Arial" w:cs="Arial"/>
                <w:sz w:val="22"/>
                <w:szCs w:val="22"/>
              </w:rPr>
            </w:pPr>
            <w:r w:rsidRPr="00922392">
              <w:rPr>
                <w:rFonts w:ascii="Arial" w:hAnsi="Arial" w:cs="Arial"/>
                <w:sz w:val="22"/>
                <w:szCs w:val="22"/>
              </w:rPr>
              <w:t xml:space="preserve">Prema Listu nepokretnosti broj </w:t>
            </w:r>
            <w:r>
              <w:rPr>
                <w:rFonts w:ascii="Arial" w:hAnsi="Arial" w:cs="Arial"/>
                <w:sz w:val="22"/>
                <w:szCs w:val="22"/>
              </w:rPr>
              <w:t>517</w:t>
            </w:r>
            <w:r w:rsidRPr="00922392">
              <w:rPr>
                <w:rFonts w:ascii="Arial" w:hAnsi="Arial" w:cs="Arial"/>
                <w:sz w:val="22"/>
                <w:szCs w:val="22"/>
              </w:rPr>
              <w:t xml:space="preserve"> na kat.par.br. </w:t>
            </w:r>
            <w:r>
              <w:rPr>
                <w:rFonts w:ascii="Arial" w:hAnsi="Arial" w:cs="Arial"/>
                <w:b/>
                <w:sz w:val="22"/>
                <w:szCs w:val="22"/>
              </w:rPr>
              <w:t>745</w:t>
            </w:r>
            <w:r w:rsidRPr="00922392">
              <w:rPr>
                <w:rFonts w:ascii="Arial" w:hAnsi="Arial" w:cs="Arial"/>
                <w:b/>
                <w:sz w:val="22"/>
                <w:szCs w:val="22"/>
              </w:rPr>
              <w:t xml:space="preserve"> KO </w:t>
            </w:r>
            <w:r>
              <w:rPr>
                <w:rFonts w:ascii="Arial" w:hAnsi="Arial" w:cs="Arial"/>
                <w:b/>
                <w:sz w:val="22"/>
                <w:szCs w:val="22"/>
              </w:rPr>
              <w:t>Donja Lastva</w:t>
            </w:r>
            <w:r>
              <w:rPr>
                <w:rFonts w:ascii="Arial" w:hAnsi="Arial" w:cs="Arial"/>
                <w:sz w:val="22"/>
                <w:szCs w:val="22"/>
              </w:rPr>
              <w:t xml:space="preserve">, </w:t>
            </w:r>
            <w:r w:rsidRPr="00922392">
              <w:rPr>
                <w:rFonts w:ascii="Arial" w:hAnsi="Arial" w:cs="Arial"/>
                <w:sz w:val="22"/>
                <w:szCs w:val="22"/>
              </w:rPr>
              <w:t xml:space="preserve">površine </w:t>
            </w:r>
            <w:r>
              <w:rPr>
                <w:rFonts w:ascii="Arial" w:hAnsi="Arial" w:cs="Arial"/>
                <w:b/>
                <w:sz w:val="22"/>
                <w:szCs w:val="22"/>
              </w:rPr>
              <w:t>4 179</w:t>
            </w:r>
            <w:r w:rsidRPr="00922392">
              <w:rPr>
                <w:rFonts w:ascii="Arial" w:hAnsi="Arial" w:cs="Arial"/>
                <w:b/>
                <w:sz w:val="22"/>
                <w:szCs w:val="22"/>
              </w:rPr>
              <w:t xml:space="preserve"> m²</w:t>
            </w:r>
            <w:r w:rsidRPr="00922392">
              <w:rPr>
                <w:rFonts w:ascii="Arial" w:hAnsi="Arial" w:cs="Arial"/>
                <w:sz w:val="22"/>
                <w:szCs w:val="22"/>
              </w:rPr>
              <w:t xml:space="preserve"> nema evidentiranih objekata i ista predstavlja „</w:t>
            </w:r>
            <w:r>
              <w:rPr>
                <w:rFonts w:ascii="Arial" w:hAnsi="Arial" w:cs="Arial"/>
                <w:sz w:val="22"/>
                <w:szCs w:val="22"/>
              </w:rPr>
              <w:t>magistralni put</w:t>
            </w:r>
            <w:r w:rsidRPr="00922392">
              <w:rPr>
                <w:rFonts w:ascii="Arial" w:hAnsi="Arial" w:cs="Arial"/>
                <w:sz w:val="22"/>
                <w:szCs w:val="22"/>
              </w:rPr>
              <w:t>“ na kome pravo svojine ima Crna Gora, a pravo raspolaganja Vlada Crne Gore.</w:t>
            </w:r>
          </w:p>
          <w:p w:rsidR="00922392" w:rsidRPr="00922392" w:rsidRDefault="00922392" w:rsidP="00734383">
            <w:pPr>
              <w:jc w:val="both"/>
              <w:rPr>
                <w:rFonts w:ascii="Arial" w:hAnsi="Arial" w:cs="Arial"/>
                <w:sz w:val="22"/>
                <w:szCs w:val="22"/>
              </w:rPr>
            </w:pPr>
          </w:p>
          <w:p w:rsidR="0007339A" w:rsidRPr="008A694E" w:rsidRDefault="0007339A" w:rsidP="0007339A">
            <w:pPr>
              <w:jc w:val="both"/>
              <w:rPr>
                <w:rFonts w:ascii="Arial" w:hAnsi="Arial" w:cs="Arial"/>
                <w:b/>
                <w:sz w:val="22"/>
                <w:szCs w:val="22"/>
              </w:rPr>
            </w:pPr>
            <w:r w:rsidRPr="008A694E">
              <w:rPr>
                <w:rFonts w:ascii="Arial" w:hAnsi="Arial" w:cs="Arial"/>
                <w:sz w:val="22"/>
                <w:szCs w:val="22"/>
              </w:rPr>
              <w:t xml:space="preserve">Predmetna lokacija nalazi se u planskoj cjelini </w:t>
            </w:r>
            <w:r w:rsidR="00573F94" w:rsidRPr="008A694E">
              <w:rPr>
                <w:rFonts w:ascii="Arial" w:hAnsi="Arial" w:cs="Arial"/>
                <w:b/>
                <w:sz w:val="22"/>
                <w:szCs w:val="22"/>
              </w:rPr>
              <w:t>PC1.</w:t>
            </w:r>
            <w:r w:rsidRPr="008A694E">
              <w:rPr>
                <w:rFonts w:ascii="Arial" w:hAnsi="Arial" w:cs="Arial"/>
                <w:b/>
                <w:sz w:val="22"/>
                <w:szCs w:val="22"/>
              </w:rPr>
              <w:t xml:space="preserve"> </w:t>
            </w:r>
            <w:r w:rsidR="00573F94" w:rsidRPr="008A694E">
              <w:rPr>
                <w:rFonts w:ascii="Arial" w:hAnsi="Arial" w:cs="Arial"/>
                <w:b/>
                <w:sz w:val="22"/>
                <w:szCs w:val="22"/>
              </w:rPr>
              <w:t>Lepetani</w:t>
            </w:r>
            <w:r w:rsidR="008A694E" w:rsidRPr="008A694E">
              <w:rPr>
                <w:rFonts w:ascii="Arial" w:hAnsi="Arial" w:cs="Arial"/>
                <w:b/>
                <w:sz w:val="22"/>
                <w:szCs w:val="22"/>
              </w:rPr>
              <w:t xml:space="preserve"> i</w:t>
            </w:r>
            <w:r w:rsidR="00573F94" w:rsidRPr="008A694E">
              <w:rPr>
                <w:rFonts w:ascii="Arial" w:hAnsi="Arial" w:cs="Arial"/>
                <w:b/>
                <w:sz w:val="22"/>
                <w:szCs w:val="22"/>
              </w:rPr>
              <w:t xml:space="preserve"> PC2.</w:t>
            </w:r>
            <w:r w:rsidR="00573F94" w:rsidRPr="008A694E">
              <w:rPr>
                <w:rFonts w:ascii="Arial" w:hAnsi="Arial" w:cs="Arial"/>
                <w:b/>
                <w:sz w:val="22"/>
                <w:szCs w:val="22"/>
                <w:lang w:val="sl-SI"/>
              </w:rPr>
              <w:t xml:space="preserve"> Donja Lastva</w:t>
            </w:r>
          </w:p>
          <w:p w:rsidR="00573F94" w:rsidRPr="008A694E" w:rsidRDefault="00573F94" w:rsidP="00573F94">
            <w:pPr>
              <w:pStyle w:val="BodyText"/>
              <w:jc w:val="both"/>
              <w:rPr>
                <w:rFonts w:ascii="Arial" w:hAnsi="Arial" w:cs="Arial"/>
                <w:bCs/>
                <w:sz w:val="22"/>
                <w:szCs w:val="22"/>
              </w:rPr>
            </w:pPr>
            <w:r w:rsidRPr="008A694E">
              <w:rPr>
                <w:rFonts w:ascii="Arial" w:hAnsi="Arial" w:cs="Arial"/>
                <w:bCs/>
                <w:sz w:val="22"/>
                <w:szCs w:val="22"/>
              </w:rPr>
              <w:t xml:space="preserve">Područje </w:t>
            </w:r>
            <w:r w:rsidRPr="008A694E">
              <w:rPr>
                <w:rFonts w:ascii="Arial" w:hAnsi="Arial" w:cs="Arial"/>
                <w:b/>
                <w:bCs/>
                <w:sz w:val="22"/>
                <w:szCs w:val="22"/>
              </w:rPr>
              <w:t>Lepetana</w:t>
            </w:r>
            <w:r w:rsidRPr="008A694E">
              <w:rPr>
                <w:rFonts w:ascii="Arial" w:hAnsi="Arial" w:cs="Arial"/>
                <w:bCs/>
                <w:sz w:val="22"/>
                <w:szCs w:val="22"/>
              </w:rPr>
              <w:t xml:space="preserve"> smješteno je relativno izdvojeno u odnosu na preostali dio šireg gradskog područja Tivta, što rezultira time da pokazuje karakteristike ne samo prostorne, već i relativne funkcionalne samostalnosti. </w:t>
            </w:r>
          </w:p>
          <w:p w:rsidR="00573F94" w:rsidRPr="008A694E" w:rsidRDefault="00573F94" w:rsidP="00573F94">
            <w:pPr>
              <w:pStyle w:val="BodyText"/>
              <w:jc w:val="both"/>
              <w:rPr>
                <w:rFonts w:ascii="Arial" w:hAnsi="Arial" w:cs="Arial"/>
                <w:bCs/>
                <w:sz w:val="22"/>
                <w:szCs w:val="22"/>
              </w:rPr>
            </w:pPr>
            <w:r w:rsidRPr="008A694E">
              <w:rPr>
                <w:rFonts w:ascii="Arial" w:hAnsi="Arial" w:cs="Arial"/>
                <w:bCs/>
                <w:sz w:val="22"/>
                <w:szCs w:val="22"/>
              </w:rPr>
              <w:t>Plan predviđa prestrukturiranje postojeće vojne zone za potrebe turizma. Predviđena je izgradnja manjeg hotela (60-80 ležaja), sa sportsko-rekreativnim programom i manji kamp (300 liježaja). Urbanističko tehnički uslovi gradnje objekata i infrastrukture moraju zadovoljavati standarde zašt</w:t>
            </w:r>
            <w:r w:rsidR="008A694E" w:rsidRPr="008A694E">
              <w:rPr>
                <w:rFonts w:ascii="Arial" w:hAnsi="Arial" w:cs="Arial"/>
                <w:bCs/>
                <w:sz w:val="22"/>
                <w:szCs w:val="22"/>
              </w:rPr>
              <w:t>ite šireg područja vodozahvata.</w:t>
            </w:r>
          </w:p>
          <w:p w:rsidR="00573F94" w:rsidRPr="008A694E" w:rsidRDefault="00573F94" w:rsidP="00573F94">
            <w:pPr>
              <w:pStyle w:val="BodyText"/>
              <w:jc w:val="both"/>
              <w:rPr>
                <w:rFonts w:ascii="Arial" w:hAnsi="Arial" w:cs="Arial"/>
                <w:bCs/>
                <w:sz w:val="22"/>
                <w:szCs w:val="22"/>
              </w:rPr>
            </w:pPr>
            <w:r w:rsidRPr="008A694E">
              <w:rPr>
                <w:rFonts w:ascii="Arial" w:hAnsi="Arial" w:cs="Arial"/>
                <w:bCs/>
                <w:sz w:val="22"/>
                <w:szCs w:val="22"/>
              </w:rPr>
              <w:t>Nova stambena izgradnja koncentrisana je uz postojeća izgradjena područja</w:t>
            </w:r>
            <w:r w:rsidR="008A694E" w:rsidRPr="008A694E">
              <w:rPr>
                <w:rFonts w:ascii="Arial" w:hAnsi="Arial" w:cs="Arial"/>
                <w:bCs/>
                <w:sz w:val="22"/>
                <w:szCs w:val="22"/>
              </w:rPr>
              <w:t>.</w:t>
            </w:r>
          </w:p>
          <w:p w:rsidR="00573F94" w:rsidRPr="008A694E" w:rsidRDefault="00573F94" w:rsidP="00573F94">
            <w:pPr>
              <w:pStyle w:val="BodyText"/>
              <w:jc w:val="both"/>
              <w:rPr>
                <w:rFonts w:ascii="Arial" w:hAnsi="Arial" w:cs="Arial"/>
                <w:bCs/>
                <w:sz w:val="22"/>
                <w:szCs w:val="22"/>
              </w:rPr>
            </w:pPr>
          </w:p>
          <w:p w:rsidR="00573F94" w:rsidRPr="008A694E" w:rsidRDefault="00573F94" w:rsidP="00573F94">
            <w:pPr>
              <w:pStyle w:val="BodyText"/>
              <w:jc w:val="both"/>
              <w:rPr>
                <w:rFonts w:ascii="Arial" w:hAnsi="Arial" w:cs="Arial"/>
                <w:bCs/>
                <w:sz w:val="22"/>
                <w:szCs w:val="22"/>
              </w:rPr>
            </w:pPr>
            <w:r w:rsidRPr="008A694E">
              <w:rPr>
                <w:rFonts w:ascii="Arial" w:hAnsi="Arial" w:cs="Arial"/>
                <w:bCs/>
                <w:sz w:val="22"/>
                <w:szCs w:val="22"/>
              </w:rPr>
              <w:t>Planska c</w:t>
            </w:r>
            <w:r w:rsidR="008A694E" w:rsidRPr="008A694E">
              <w:rPr>
                <w:rFonts w:ascii="Arial" w:hAnsi="Arial" w:cs="Arial"/>
                <w:bCs/>
                <w:sz w:val="22"/>
                <w:szCs w:val="22"/>
              </w:rPr>
              <w:t xml:space="preserve">jelina </w:t>
            </w:r>
            <w:r w:rsidR="008A694E" w:rsidRPr="008A694E">
              <w:rPr>
                <w:rFonts w:ascii="Arial" w:hAnsi="Arial" w:cs="Arial"/>
                <w:b/>
                <w:bCs/>
                <w:sz w:val="22"/>
                <w:szCs w:val="22"/>
              </w:rPr>
              <w:t>Donja Lastva</w:t>
            </w:r>
            <w:r w:rsidRPr="008A694E">
              <w:rPr>
                <w:rFonts w:ascii="Arial" w:hAnsi="Arial" w:cs="Arial"/>
                <w:bCs/>
                <w:sz w:val="22"/>
                <w:szCs w:val="22"/>
              </w:rPr>
              <w:t>,</w:t>
            </w:r>
            <w:r w:rsidR="008A694E" w:rsidRPr="008A694E">
              <w:rPr>
                <w:rFonts w:ascii="Arial" w:hAnsi="Arial" w:cs="Arial"/>
                <w:bCs/>
                <w:sz w:val="22"/>
                <w:szCs w:val="22"/>
              </w:rPr>
              <w:t xml:space="preserve"> </w:t>
            </w:r>
            <w:r w:rsidRPr="008A694E">
              <w:rPr>
                <w:rFonts w:ascii="Arial" w:hAnsi="Arial" w:cs="Arial"/>
                <w:bCs/>
                <w:sz w:val="22"/>
                <w:szCs w:val="22"/>
              </w:rPr>
              <w:t xml:space="preserve">prostorno  odvojena od gradskog centra potokom Seljanovo ,predstavlja zaokruženu i relativno samostalnu prostornu cjelinu. Dio kompleksa vojske Opatovo predviđen ja za prestrukturiranje u mješovitu namjenu, budući da je na saobraćajno dobro dostupnoj lokaciji, uz priključak na brzu saobraćajnicu (obilaznicu). </w:t>
            </w:r>
          </w:p>
          <w:p w:rsidR="00573F94" w:rsidRPr="008A694E" w:rsidRDefault="00573F94" w:rsidP="008A694E">
            <w:pPr>
              <w:pStyle w:val="BodyText"/>
              <w:jc w:val="both"/>
              <w:rPr>
                <w:rFonts w:ascii="Arial" w:hAnsi="Arial" w:cs="Arial"/>
                <w:bCs/>
                <w:spacing w:val="-6"/>
                <w:sz w:val="22"/>
                <w:szCs w:val="22"/>
              </w:rPr>
            </w:pPr>
            <w:r w:rsidRPr="008A694E">
              <w:rPr>
                <w:rFonts w:ascii="Arial" w:hAnsi="Arial" w:cs="Arial"/>
                <w:bCs/>
                <w:spacing w:val="-8"/>
                <w:sz w:val="22"/>
                <w:szCs w:val="22"/>
              </w:rPr>
              <w:lastRenderedPageBreak/>
              <w:t xml:space="preserve">Prostorna okosnica Donje Lastve je današnji magistalni pravac koji će izgradnjom brze saobraćajnice - obilaznice izgubiti veći dio svog prometnog opterećenja, pa je uz njega (gradska avenija) predviđena mješovita namjena i lociranje glavnina centralnih sadržaja. </w:t>
            </w:r>
          </w:p>
          <w:p w:rsidR="0015361D" w:rsidRPr="0007339A" w:rsidRDefault="0015361D" w:rsidP="008A694E">
            <w:pPr>
              <w:pStyle w:val="ListContinue"/>
              <w:spacing w:after="0"/>
              <w:ind w:left="0"/>
              <w:jc w:val="both"/>
              <w:rPr>
                <w:rFonts w:ascii="Arial" w:hAnsi="Arial" w:cs="Arial"/>
                <w:sz w:val="22"/>
                <w:szCs w:val="22"/>
              </w:rPr>
            </w:pPr>
          </w:p>
        </w:tc>
      </w:tr>
      <w:tr w:rsidR="00727CDC" w:rsidRPr="007F5366" w:rsidTr="00922392">
        <w:trPr>
          <w:trHeight w:val="261"/>
          <w:jc w:val="center"/>
        </w:trPr>
        <w:tc>
          <w:tcPr>
            <w:tcW w:w="11558" w:type="dxa"/>
            <w:gridSpan w:val="5"/>
            <w:noWrap/>
            <w:vAlign w:val="center"/>
            <w:hideMark/>
          </w:tcPr>
          <w:p w:rsidR="00AA3012" w:rsidRPr="007F5366" w:rsidRDefault="00AA3012" w:rsidP="002F6414">
            <w:pPr>
              <w:tabs>
                <w:tab w:val="left" w:pos="6915"/>
              </w:tabs>
              <w:rPr>
                <w:rFonts w:ascii="Arial" w:hAnsi="Arial" w:cs="Arial"/>
                <w:sz w:val="22"/>
                <w:szCs w:val="22"/>
              </w:rPr>
            </w:pPr>
          </w:p>
        </w:tc>
      </w:tr>
      <w:tr w:rsidR="00DD7E0D" w:rsidRPr="007F5366" w:rsidTr="00922392">
        <w:trPr>
          <w:trHeight w:val="300"/>
          <w:jc w:val="center"/>
        </w:trPr>
        <w:tc>
          <w:tcPr>
            <w:tcW w:w="1772" w:type="dxa"/>
            <w:noWrap/>
            <w:vAlign w:val="center"/>
            <w:hideMark/>
          </w:tcPr>
          <w:p w:rsidR="00727CDC" w:rsidRPr="007F5366" w:rsidRDefault="00727CDC" w:rsidP="00F5152B">
            <w:pPr>
              <w:pStyle w:val="ListParagraph"/>
              <w:numPr>
                <w:ilvl w:val="0"/>
                <w:numId w:val="1"/>
              </w:numPr>
              <w:tabs>
                <w:tab w:val="left" w:pos="6915"/>
              </w:tabs>
              <w:rPr>
                <w:rFonts w:ascii="Arial" w:hAnsi="Arial" w:cs="Arial"/>
                <w:sz w:val="22"/>
                <w:szCs w:val="22"/>
              </w:rPr>
            </w:pPr>
            <w:r w:rsidRPr="007F5366">
              <w:rPr>
                <w:rFonts w:ascii="Arial" w:hAnsi="Arial" w:cs="Arial"/>
                <w:sz w:val="22"/>
                <w:szCs w:val="22"/>
              </w:rPr>
              <w:t>.</w:t>
            </w:r>
          </w:p>
        </w:tc>
        <w:tc>
          <w:tcPr>
            <w:tcW w:w="9786" w:type="dxa"/>
            <w:gridSpan w:val="4"/>
            <w:vAlign w:val="center"/>
            <w:hideMark/>
          </w:tcPr>
          <w:p w:rsidR="00727CDC" w:rsidRPr="007F5366" w:rsidRDefault="00727CDC" w:rsidP="005053D0">
            <w:pPr>
              <w:tabs>
                <w:tab w:val="left" w:pos="6915"/>
              </w:tabs>
              <w:rPr>
                <w:rFonts w:ascii="Arial" w:hAnsi="Arial" w:cs="Arial"/>
                <w:b/>
                <w:bCs/>
                <w:sz w:val="22"/>
                <w:szCs w:val="22"/>
              </w:rPr>
            </w:pPr>
            <w:r w:rsidRPr="007F5366">
              <w:rPr>
                <w:rFonts w:ascii="Arial" w:hAnsi="Arial" w:cs="Arial"/>
                <w:b/>
                <w:bCs/>
                <w:sz w:val="22"/>
                <w:szCs w:val="22"/>
              </w:rPr>
              <w:t>PLANIRANO STANJE</w:t>
            </w:r>
            <w:r w:rsidR="00922392">
              <w:rPr>
                <w:rFonts w:ascii="Arial" w:hAnsi="Arial" w:cs="Arial"/>
                <w:b/>
                <w:bCs/>
                <w:sz w:val="22"/>
                <w:szCs w:val="22"/>
              </w:rPr>
              <w:t xml:space="preserve"> I USLOVI ZA IZGRADNJU</w:t>
            </w:r>
          </w:p>
        </w:tc>
      </w:tr>
      <w:tr w:rsidR="0047326F" w:rsidRPr="007F5366" w:rsidTr="00922392">
        <w:trPr>
          <w:trHeight w:val="300"/>
          <w:jc w:val="center"/>
        </w:trPr>
        <w:tc>
          <w:tcPr>
            <w:tcW w:w="1772" w:type="dxa"/>
            <w:noWrap/>
            <w:vAlign w:val="center"/>
          </w:tcPr>
          <w:p w:rsidR="0047326F" w:rsidRPr="007F5366" w:rsidRDefault="0047326F" w:rsidP="005053D0">
            <w:pPr>
              <w:tabs>
                <w:tab w:val="left" w:pos="6915"/>
              </w:tabs>
              <w:ind w:left="34"/>
              <w:rPr>
                <w:rFonts w:ascii="Arial" w:hAnsi="Arial" w:cs="Arial"/>
                <w:sz w:val="22"/>
                <w:szCs w:val="22"/>
              </w:rPr>
            </w:pPr>
          </w:p>
        </w:tc>
        <w:tc>
          <w:tcPr>
            <w:tcW w:w="9786" w:type="dxa"/>
            <w:gridSpan w:val="4"/>
            <w:vAlign w:val="center"/>
          </w:tcPr>
          <w:p w:rsidR="00226D34" w:rsidRDefault="00226D34" w:rsidP="008A694E">
            <w:pPr>
              <w:jc w:val="both"/>
              <w:rPr>
                <w:rFonts w:ascii="Arial" w:hAnsi="Arial" w:cs="Arial"/>
                <w:i/>
                <w:sz w:val="22"/>
                <w:szCs w:val="22"/>
              </w:rPr>
            </w:pPr>
          </w:p>
          <w:p w:rsidR="008A694E" w:rsidRDefault="008A694E" w:rsidP="008A694E">
            <w:pPr>
              <w:jc w:val="both"/>
              <w:rPr>
                <w:rFonts w:ascii="Arial" w:hAnsi="Arial" w:cs="Arial"/>
                <w:i/>
                <w:sz w:val="22"/>
                <w:szCs w:val="22"/>
              </w:rPr>
            </w:pPr>
            <w:r w:rsidRPr="0015361D">
              <w:rPr>
                <w:rFonts w:ascii="Arial" w:hAnsi="Arial" w:cs="Arial"/>
                <w:i/>
                <w:sz w:val="22"/>
                <w:szCs w:val="22"/>
              </w:rPr>
              <w:t>Smjernice i mjere za realizaciju plana</w:t>
            </w:r>
          </w:p>
          <w:p w:rsidR="00226D34" w:rsidRPr="0015361D" w:rsidRDefault="00226D34" w:rsidP="008A694E">
            <w:pPr>
              <w:jc w:val="both"/>
              <w:rPr>
                <w:rFonts w:ascii="Arial" w:hAnsi="Arial" w:cs="Arial"/>
                <w:i/>
                <w:sz w:val="22"/>
                <w:szCs w:val="22"/>
              </w:rPr>
            </w:pPr>
          </w:p>
          <w:p w:rsidR="008A694E" w:rsidRPr="008A694E" w:rsidRDefault="008A694E" w:rsidP="008A694E">
            <w:pPr>
              <w:pStyle w:val="BodyText"/>
              <w:jc w:val="both"/>
              <w:rPr>
                <w:rFonts w:ascii="Arial" w:hAnsi="Arial" w:cs="Arial"/>
                <w:bCs/>
                <w:sz w:val="22"/>
                <w:szCs w:val="22"/>
              </w:rPr>
            </w:pPr>
            <w:r>
              <w:rPr>
                <w:rFonts w:ascii="Arial" w:hAnsi="Arial" w:cs="Arial"/>
                <w:bCs/>
                <w:sz w:val="22"/>
                <w:szCs w:val="22"/>
              </w:rPr>
              <w:t xml:space="preserve">Shodno smjernicama i mjerama za realizaciju planskog dokumenta, </w:t>
            </w:r>
            <w:r w:rsidRPr="008A694E">
              <w:rPr>
                <w:rFonts w:ascii="Arial" w:hAnsi="Arial" w:cs="Arial"/>
                <w:bCs/>
                <w:sz w:val="22"/>
                <w:szCs w:val="22"/>
              </w:rPr>
              <w:t xml:space="preserve">Prostorno-urbanistički plan Tivta realizovaće se u etapama koje će biti definisane i usklađene sa razvojem infrastrukturnih sistema, komunalnog opremanja građevinskog zemljišta i razvoja društvene infrastrukture. Pri tome je od velike važnosti permanentna </w:t>
            </w:r>
            <w:r w:rsidRPr="008A694E">
              <w:rPr>
                <w:rFonts w:ascii="Arial" w:hAnsi="Arial" w:cs="Arial"/>
                <w:b/>
                <w:bCs/>
                <w:sz w:val="22"/>
                <w:szCs w:val="22"/>
              </w:rPr>
              <w:t>međusobna saradnja lokalne uprave i državnih službi koje upravljaju područjem posebne namjene morskog dobra i usklađivanje kapaciteta planiranih državnim studijama lokacije za zone morskog dobra sa kapacitetima infrastrukturnih sistema grada.</w:t>
            </w:r>
          </w:p>
          <w:p w:rsidR="008A694E" w:rsidRPr="008A694E" w:rsidRDefault="008A694E" w:rsidP="008A694E">
            <w:pPr>
              <w:jc w:val="both"/>
              <w:rPr>
                <w:rFonts w:ascii="Arial" w:hAnsi="Arial" w:cs="Arial"/>
                <w:sz w:val="22"/>
                <w:szCs w:val="22"/>
              </w:rPr>
            </w:pPr>
            <w:r>
              <w:rPr>
                <w:rFonts w:ascii="Arial" w:hAnsi="Arial" w:cs="Arial"/>
                <w:bCs/>
                <w:sz w:val="22"/>
                <w:szCs w:val="22"/>
              </w:rPr>
              <w:t>PUP-om Tivta do 2020.godine kao jedan od p</w:t>
            </w:r>
            <w:r w:rsidRPr="008A694E">
              <w:rPr>
                <w:rFonts w:ascii="Arial" w:hAnsi="Arial" w:cs="Arial"/>
                <w:bCs/>
                <w:sz w:val="22"/>
                <w:szCs w:val="22"/>
              </w:rPr>
              <w:t>ri</w:t>
            </w:r>
            <w:r>
              <w:rPr>
                <w:rFonts w:ascii="Arial" w:hAnsi="Arial" w:cs="Arial"/>
                <w:bCs/>
                <w:sz w:val="22"/>
                <w:szCs w:val="22"/>
              </w:rPr>
              <w:t>oritetnih zadataka</w:t>
            </w:r>
            <w:r w:rsidRPr="008A694E">
              <w:rPr>
                <w:rFonts w:ascii="Arial" w:hAnsi="Arial" w:cs="Arial"/>
                <w:bCs/>
                <w:sz w:val="22"/>
                <w:szCs w:val="22"/>
              </w:rPr>
              <w:t xml:space="preserve"> i investicij</w:t>
            </w:r>
            <w:r>
              <w:rPr>
                <w:rFonts w:ascii="Arial" w:hAnsi="Arial" w:cs="Arial"/>
                <w:bCs/>
                <w:sz w:val="22"/>
                <w:szCs w:val="22"/>
              </w:rPr>
              <w:t>a,</w:t>
            </w:r>
            <w:r w:rsidRPr="008A694E">
              <w:rPr>
                <w:rFonts w:ascii="Arial" w:hAnsi="Arial" w:cs="Arial"/>
                <w:bCs/>
                <w:sz w:val="22"/>
                <w:szCs w:val="22"/>
              </w:rPr>
              <w:t xml:space="preserve"> od čijeg ostvarenja zavisi budući razvoj Opštine Tivat odnosno realizacija Plana</w:t>
            </w:r>
            <w:r>
              <w:rPr>
                <w:rFonts w:ascii="Arial" w:hAnsi="Arial" w:cs="Arial"/>
                <w:bCs/>
                <w:sz w:val="22"/>
                <w:szCs w:val="22"/>
              </w:rPr>
              <w:t>, je data</w:t>
            </w:r>
            <w:r w:rsidRPr="008A694E">
              <w:rPr>
                <w:rFonts w:ascii="Arial" w:hAnsi="Arial" w:cs="Arial"/>
                <w:sz w:val="22"/>
                <w:szCs w:val="22"/>
              </w:rPr>
              <w:t xml:space="preserve"> </w:t>
            </w:r>
            <w:r>
              <w:rPr>
                <w:rFonts w:ascii="Arial" w:hAnsi="Arial" w:cs="Arial"/>
                <w:sz w:val="22"/>
                <w:szCs w:val="22"/>
              </w:rPr>
              <w:t>i</w:t>
            </w:r>
            <w:r w:rsidRPr="008A694E">
              <w:rPr>
                <w:rFonts w:ascii="Arial" w:hAnsi="Arial" w:cs="Arial"/>
                <w:sz w:val="22"/>
                <w:szCs w:val="22"/>
              </w:rPr>
              <w:t>zgradnja kanalizacione mreže.</w:t>
            </w:r>
          </w:p>
          <w:p w:rsidR="008A694E" w:rsidRDefault="008A694E" w:rsidP="008A694E">
            <w:pPr>
              <w:pStyle w:val="List"/>
              <w:ind w:left="0" w:firstLine="0"/>
              <w:contextualSpacing w:val="0"/>
              <w:jc w:val="both"/>
              <w:rPr>
                <w:rFonts w:ascii="Arial" w:hAnsi="Arial" w:cs="Arial"/>
                <w:sz w:val="22"/>
                <w:szCs w:val="22"/>
                <w:lang w:val="sr-Latn-CS"/>
              </w:rPr>
            </w:pPr>
          </w:p>
          <w:p w:rsidR="008A694E" w:rsidRPr="008A694E" w:rsidRDefault="008A694E" w:rsidP="008A694E">
            <w:pPr>
              <w:pStyle w:val="List"/>
              <w:ind w:left="0" w:firstLine="0"/>
              <w:contextualSpacing w:val="0"/>
              <w:jc w:val="both"/>
              <w:rPr>
                <w:rFonts w:ascii="Arial" w:hAnsi="Arial" w:cs="Arial"/>
                <w:sz w:val="22"/>
                <w:szCs w:val="22"/>
                <w:lang w:val="sr-Latn-CS"/>
              </w:rPr>
            </w:pPr>
            <w:r>
              <w:rPr>
                <w:rFonts w:ascii="Arial" w:hAnsi="Arial" w:cs="Arial"/>
                <w:sz w:val="22"/>
                <w:szCs w:val="22"/>
                <w:lang w:val="sr-Latn-CS"/>
              </w:rPr>
              <w:t>Planskim dokumentom definisano je da se u</w:t>
            </w:r>
            <w:r w:rsidR="000C6513">
              <w:rPr>
                <w:rFonts w:ascii="Arial" w:hAnsi="Arial" w:cs="Arial"/>
                <w:sz w:val="22"/>
                <w:szCs w:val="22"/>
                <w:lang w:val="sr-Latn-CS"/>
              </w:rPr>
              <w:t>ređ</w:t>
            </w:r>
            <w:r w:rsidRPr="008A694E">
              <w:rPr>
                <w:rFonts w:ascii="Arial" w:hAnsi="Arial" w:cs="Arial"/>
                <w:sz w:val="22"/>
                <w:szCs w:val="22"/>
                <w:lang w:val="sr-Latn-CS"/>
              </w:rPr>
              <w:t xml:space="preserve">ivanje prostora kao </w:t>
            </w:r>
            <w:r w:rsidR="000C6513">
              <w:rPr>
                <w:rFonts w:ascii="Arial" w:hAnsi="Arial" w:cs="Arial"/>
                <w:sz w:val="22"/>
                <w:szCs w:val="22"/>
                <w:lang w:val="sr-Latn-CS"/>
              </w:rPr>
              <w:t>što je izgradnja objekata, uređ</w:t>
            </w:r>
            <w:r w:rsidRPr="008A694E">
              <w:rPr>
                <w:rFonts w:ascii="Arial" w:hAnsi="Arial" w:cs="Arial"/>
                <w:sz w:val="22"/>
                <w:szCs w:val="22"/>
                <w:lang w:val="sr-Latn-CS"/>
              </w:rPr>
              <w:t>ivanje zemljišta,</w:t>
            </w:r>
            <w:r>
              <w:rPr>
                <w:rFonts w:ascii="Arial" w:hAnsi="Arial" w:cs="Arial"/>
                <w:sz w:val="22"/>
                <w:szCs w:val="22"/>
                <w:lang w:val="sr-Latn-CS"/>
              </w:rPr>
              <w:t xml:space="preserve"> te obavljanje drugih uređ</w:t>
            </w:r>
            <w:r w:rsidRPr="008A694E">
              <w:rPr>
                <w:rFonts w:ascii="Arial" w:hAnsi="Arial" w:cs="Arial"/>
                <w:sz w:val="22"/>
                <w:szCs w:val="22"/>
                <w:lang w:val="sr-Latn-CS"/>
              </w:rPr>
              <w:t xml:space="preserve">enja iznad, ispod, ili na površini zemlje, mora, vode, na području zahvata Prostorno-urbanističkog plana Tivta </w:t>
            </w:r>
            <w:r>
              <w:rPr>
                <w:rFonts w:ascii="Arial" w:hAnsi="Arial" w:cs="Arial"/>
                <w:sz w:val="22"/>
                <w:szCs w:val="22"/>
                <w:lang w:val="sr-Latn-CS"/>
              </w:rPr>
              <w:t xml:space="preserve">može obavljati samo u skladu s </w:t>
            </w:r>
            <w:r w:rsidRPr="008A694E">
              <w:rPr>
                <w:rFonts w:ascii="Arial" w:hAnsi="Arial" w:cs="Arial"/>
                <w:sz w:val="22"/>
                <w:szCs w:val="22"/>
                <w:lang w:val="sr-Latn-CS"/>
              </w:rPr>
              <w:t xml:space="preserve"> planom, odnosno u skladu s postavkama koje iz njega proizilaze. </w:t>
            </w:r>
          </w:p>
          <w:p w:rsidR="008A694E" w:rsidRPr="008A694E" w:rsidRDefault="008A694E" w:rsidP="008A694E">
            <w:pPr>
              <w:jc w:val="both"/>
              <w:rPr>
                <w:rFonts w:ascii="Arial" w:hAnsi="Arial" w:cs="Arial"/>
                <w:sz w:val="22"/>
                <w:szCs w:val="22"/>
                <w:lang w:val="sr-Latn-CS"/>
              </w:rPr>
            </w:pPr>
          </w:p>
          <w:p w:rsidR="008A694E" w:rsidRDefault="008A694E" w:rsidP="008A694E">
            <w:pPr>
              <w:pStyle w:val="ListContinue"/>
              <w:spacing w:after="0"/>
              <w:ind w:left="0"/>
              <w:jc w:val="both"/>
              <w:rPr>
                <w:rFonts w:ascii="Arial" w:hAnsi="Arial" w:cs="Arial"/>
                <w:b/>
                <w:sz w:val="22"/>
                <w:szCs w:val="22"/>
                <w:lang w:val="sr-Latn-CS"/>
              </w:rPr>
            </w:pPr>
            <w:r w:rsidRPr="008A694E">
              <w:rPr>
                <w:rFonts w:ascii="Arial" w:hAnsi="Arial" w:cs="Arial"/>
                <w:sz w:val="22"/>
                <w:szCs w:val="22"/>
                <w:lang w:val="sr-Latn-CS"/>
              </w:rPr>
              <w:t xml:space="preserve">Na područjima za koja nije donijet lokalni planski dokument nižeg reda, kao i na područjima za koja nije obavezno njegovo donošenje, </w:t>
            </w:r>
            <w:r w:rsidRPr="008A694E">
              <w:rPr>
                <w:rFonts w:ascii="Arial" w:hAnsi="Arial" w:cs="Arial"/>
                <w:b/>
                <w:sz w:val="22"/>
                <w:szCs w:val="22"/>
                <w:lang w:val="sr-Latn-CS"/>
              </w:rPr>
              <w:t>izgradnja objekata koji su od posebnog značaja za privredni i društveni razvoj i čije bi odlaganje izgradnje moglo da izazove materijalne i druge štete, vrši se na osnovu lokacije koju utvrđuje skupština opštine na prijedlog izvršnog organa, po postupku i na način propisan Zakonom.</w:t>
            </w:r>
          </w:p>
          <w:p w:rsidR="000C6513" w:rsidRPr="000C6513" w:rsidRDefault="000C6513" w:rsidP="008A694E">
            <w:pPr>
              <w:pStyle w:val="ListContinue"/>
              <w:spacing w:after="0"/>
              <w:ind w:left="0"/>
              <w:jc w:val="both"/>
              <w:rPr>
                <w:rFonts w:ascii="Arial" w:hAnsi="Arial" w:cs="Arial"/>
                <w:sz w:val="22"/>
                <w:szCs w:val="22"/>
                <w:lang w:val="sr-Latn-CS"/>
              </w:rPr>
            </w:pPr>
            <w:r>
              <w:rPr>
                <w:rFonts w:ascii="Arial" w:hAnsi="Arial" w:cs="Arial"/>
                <w:sz w:val="22"/>
                <w:szCs w:val="22"/>
                <w:lang w:val="sr-Latn-CS"/>
              </w:rPr>
              <w:t xml:space="preserve">Na ovom području PUP- om je planirano donošenje planova nižeg reda: DUP Lepetane, UP Turistička zona Lepetane, UP Opatovo i DSL Sektor 20. </w:t>
            </w:r>
          </w:p>
          <w:p w:rsidR="0047326F" w:rsidRDefault="0047326F" w:rsidP="005053D0">
            <w:pPr>
              <w:tabs>
                <w:tab w:val="left" w:pos="6915"/>
              </w:tabs>
              <w:rPr>
                <w:rFonts w:ascii="Arial" w:hAnsi="Arial" w:cs="Arial"/>
                <w:b/>
                <w:bCs/>
                <w:sz w:val="22"/>
                <w:szCs w:val="22"/>
              </w:rPr>
            </w:pPr>
          </w:p>
          <w:p w:rsidR="008A694E" w:rsidRDefault="008A694E" w:rsidP="00642F3C">
            <w:pPr>
              <w:tabs>
                <w:tab w:val="left" w:pos="6915"/>
              </w:tabs>
              <w:jc w:val="both"/>
              <w:rPr>
                <w:rFonts w:ascii="Arial" w:hAnsi="Arial" w:cs="Arial"/>
                <w:b/>
                <w:bCs/>
                <w:sz w:val="22"/>
                <w:szCs w:val="22"/>
              </w:rPr>
            </w:pPr>
            <w:r>
              <w:rPr>
                <w:rFonts w:ascii="Arial" w:hAnsi="Arial" w:cs="Arial"/>
                <w:b/>
                <w:bCs/>
                <w:sz w:val="22"/>
                <w:szCs w:val="22"/>
              </w:rPr>
              <w:t xml:space="preserve">Sagledavanjem potreba </w:t>
            </w:r>
            <w:r w:rsidR="00642F3C">
              <w:rPr>
                <w:rFonts w:ascii="Arial" w:hAnsi="Arial" w:cs="Arial"/>
                <w:b/>
                <w:bCs/>
                <w:sz w:val="22"/>
                <w:szCs w:val="22"/>
              </w:rPr>
              <w:t xml:space="preserve">stanovništva </w:t>
            </w:r>
            <w:r>
              <w:rPr>
                <w:rFonts w:ascii="Arial" w:hAnsi="Arial" w:cs="Arial"/>
                <w:b/>
                <w:bCs/>
                <w:sz w:val="22"/>
                <w:szCs w:val="22"/>
              </w:rPr>
              <w:t xml:space="preserve">i </w:t>
            </w:r>
            <w:r w:rsidR="00642F3C">
              <w:rPr>
                <w:rFonts w:ascii="Arial" w:hAnsi="Arial" w:cs="Arial"/>
                <w:b/>
                <w:bCs/>
                <w:sz w:val="22"/>
                <w:szCs w:val="22"/>
              </w:rPr>
              <w:t>postojećih kapaciteta infrastrukture</w:t>
            </w:r>
            <w:r>
              <w:rPr>
                <w:rFonts w:ascii="Arial" w:hAnsi="Arial" w:cs="Arial"/>
                <w:b/>
                <w:bCs/>
                <w:sz w:val="22"/>
                <w:szCs w:val="22"/>
              </w:rPr>
              <w:t xml:space="preserve">, kao jedno od pitanja od značaja za privredni i društveni razvoj </w:t>
            </w:r>
            <w:r w:rsidR="00642F3C">
              <w:rPr>
                <w:rFonts w:ascii="Arial" w:hAnsi="Arial" w:cs="Arial"/>
                <w:b/>
                <w:bCs/>
                <w:sz w:val="22"/>
                <w:szCs w:val="22"/>
              </w:rPr>
              <w:t>pokazalo se pitanje rješavanja kanalizacije od Sv. Roka do Lepetana.</w:t>
            </w:r>
          </w:p>
          <w:p w:rsidR="00642F3C" w:rsidRDefault="00642F3C" w:rsidP="00642F3C">
            <w:pPr>
              <w:tabs>
                <w:tab w:val="left" w:pos="6915"/>
              </w:tabs>
              <w:jc w:val="both"/>
              <w:rPr>
                <w:rFonts w:ascii="Arial" w:hAnsi="Arial" w:cs="Arial"/>
                <w:b/>
                <w:bCs/>
                <w:sz w:val="22"/>
                <w:szCs w:val="22"/>
              </w:rPr>
            </w:pPr>
          </w:p>
          <w:p w:rsidR="00642F3C" w:rsidRDefault="00642F3C" w:rsidP="00642F3C">
            <w:pPr>
              <w:tabs>
                <w:tab w:val="left" w:pos="6915"/>
              </w:tabs>
              <w:jc w:val="both"/>
              <w:rPr>
                <w:rFonts w:ascii="Arial" w:hAnsi="Arial" w:cs="Arial"/>
                <w:b/>
                <w:bCs/>
                <w:sz w:val="22"/>
                <w:szCs w:val="22"/>
              </w:rPr>
            </w:pPr>
            <w:r w:rsidRPr="00642F3C">
              <w:rPr>
                <w:rFonts w:ascii="Arial" w:hAnsi="Arial" w:cs="Arial"/>
                <w:b/>
                <w:bCs/>
                <w:sz w:val="22"/>
                <w:szCs w:val="22"/>
              </w:rPr>
              <w:t>JP za upravljanje morskim dob</w:t>
            </w:r>
            <w:r w:rsidRPr="000C6513">
              <w:rPr>
                <w:rFonts w:ascii="Arial" w:hAnsi="Arial" w:cs="Arial"/>
                <w:b/>
                <w:bCs/>
                <w:sz w:val="22"/>
                <w:szCs w:val="22"/>
              </w:rPr>
              <w:t>rom</w:t>
            </w:r>
            <w:r w:rsidRPr="00642F3C">
              <w:rPr>
                <w:rFonts w:ascii="Arial" w:hAnsi="Arial" w:cs="Arial"/>
                <w:bCs/>
                <w:sz w:val="22"/>
                <w:szCs w:val="22"/>
              </w:rPr>
              <w:t xml:space="preserve"> obratilo se Opštini Tivat, u cilju pronalaženja najboljeg rješenja, a imajući u vidu da su pokrenuli aktivnosti na izradi tehničke dokumentacije za šetalište od Sv.Roka do Lepetana. </w:t>
            </w:r>
            <w:r w:rsidRPr="00642F3C">
              <w:rPr>
                <w:rFonts w:ascii="Arial" w:hAnsi="Arial" w:cs="Arial"/>
                <w:b/>
                <w:bCs/>
                <w:sz w:val="22"/>
                <w:szCs w:val="22"/>
              </w:rPr>
              <w:t>Izrada tehničke dokumentacije je u završnoj fazi te je potrebno isti dopuniti sa planiranim infrastrukturnim koridorima u trupu šetališta.</w:t>
            </w:r>
            <w:r w:rsidR="000C6513">
              <w:rPr>
                <w:rFonts w:ascii="Arial" w:hAnsi="Arial" w:cs="Arial"/>
                <w:b/>
                <w:bCs/>
                <w:sz w:val="22"/>
                <w:szCs w:val="22"/>
              </w:rPr>
              <w:t xml:space="preserve"> </w:t>
            </w:r>
            <w:r w:rsidR="000C6513" w:rsidRPr="000C6513">
              <w:rPr>
                <w:rFonts w:ascii="Arial" w:hAnsi="Arial" w:cs="Arial"/>
                <w:bCs/>
                <w:sz w:val="22"/>
                <w:szCs w:val="22"/>
              </w:rPr>
              <w:t>N</w:t>
            </w:r>
            <w:r w:rsidR="000C6513">
              <w:rPr>
                <w:rFonts w:ascii="Arial" w:hAnsi="Arial" w:cs="Arial"/>
                <w:bCs/>
                <w:sz w:val="22"/>
                <w:szCs w:val="22"/>
              </w:rPr>
              <w:t>avedeno je neophodno , naročito imajući u vidu da je šetalište dijelom konzolno, kako se naknadnim iskopima ne bi poremetila statička stabilnost i sigurnost.</w:t>
            </w:r>
          </w:p>
          <w:p w:rsidR="0015361D" w:rsidRPr="00642F3C" w:rsidRDefault="0015361D" w:rsidP="00642F3C">
            <w:pPr>
              <w:tabs>
                <w:tab w:val="left" w:pos="6915"/>
              </w:tabs>
              <w:jc w:val="both"/>
              <w:rPr>
                <w:rFonts w:ascii="Arial" w:hAnsi="Arial" w:cs="Arial"/>
                <w:bCs/>
                <w:sz w:val="22"/>
                <w:szCs w:val="22"/>
              </w:rPr>
            </w:pPr>
          </w:p>
          <w:p w:rsidR="00642F3C" w:rsidRDefault="00642F3C" w:rsidP="00642F3C">
            <w:pPr>
              <w:tabs>
                <w:tab w:val="left" w:pos="6915"/>
              </w:tabs>
              <w:jc w:val="both"/>
              <w:rPr>
                <w:rFonts w:ascii="Arial" w:hAnsi="Arial" w:cs="Arial"/>
                <w:bCs/>
                <w:sz w:val="22"/>
                <w:szCs w:val="22"/>
              </w:rPr>
            </w:pPr>
            <w:r w:rsidRPr="00642F3C">
              <w:rPr>
                <w:rFonts w:ascii="Arial" w:hAnsi="Arial" w:cs="Arial"/>
                <w:bCs/>
                <w:sz w:val="22"/>
                <w:szCs w:val="22"/>
              </w:rPr>
              <w:t>Kako ne postoje planske pre</w:t>
            </w:r>
            <w:r>
              <w:rPr>
                <w:rFonts w:ascii="Arial" w:hAnsi="Arial" w:cs="Arial"/>
                <w:bCs/>
                <w:sz w:val="22"/>
                <w:szCs w:val="22"/>
              </w:rPr>
              <w:t>t</w:t>
            </w:r>
            <w:r w:rsidRPr="00642F3C">
              <w:rPr>
                <w:rFonts w:ascii="Arial" w:hAnsi="Arial" w:cs="Arial"/>
                <w:bCs/>
                <w:sz w:val="22"/>
                <w:szCs w:val="22"/>
              </w:rPr>
              <w:t xml:space="preserve">postavke za navedeno, te kako su Izmjene i dopune Prostornog plana Opštine Tivat u </w:t>
            </w:r>
            <w:r w:rsidR="000C6513">
              <w:rPr>
                <w:rFonts w:ascii="Arial" w:hAnsi="Arial" w:cs="Arial"/>
                <w:bCs/>
                <w:sz w:val="22"/>
                <w:szCs w:val="22"/>
              </w:rPr>
              <w:t>početnoj  fazi izrade</w:t>
            </w:r>
            <w:r w:rsidRPr="00642F3C">
              <w:rPr>
                <w:rFonts w:ascii="Arial" w:hAnsi="Arial" w:cs="Arial"/>
                <w:bCs/>
                <w:sz w:val="22"/>
                <w:szCs w:val="22"/>
              </w:rPr>
              <w:t>, a u pokušaju da aktivnosti uskladimo</w:t>
            </w:r>
            <w:r w:rsidR="000C6513">
              <w:rPr>
                <w:rFonts w:ascii="Arial" w:hAnsi="Arial" w:cs="Arial"/>
                <w:bCs/>
                <w:sz w:val="22"/>
                <w:szCs w:val="22"/>
              </w:rPr>
              <w:t>, Opština Tivat je</w:t>
            </w:r>
            <w:r w:rsidRPr="00642F3C">
              <w:rPr>
                <w:rFonts w:ascii="Arial" w:hAnsi="Arial" w:cs="Arial"/>
                <w:bCs/>
                <w:sz w:val="22"/>
                <w:szCs w:val="22"/>
              </w:rPr>
              <w:t xml:space="preserve"> u skladu sa</w:t>
            </w:r>
            <w:r w:rsidRPr="00642F3C">
              <w:t xml:space="preserve"> </w:t>
            </w:r>
            <w:r w:rsidRPr="00642F3C">
              <w:rPr>
                <w:rFonts w:ascii="Arial" w:hAnsi="Arial" w:cs="Arial"/>
                <w:bCs/>
                <w:sz w:val="22"/>
                <w:szCs w:val="22"/>
              </w:rPr>
              <w:t xml:space="preserve"> članom 223 Zakona o planiranju prostora i izgradnji objekata („Sl.list CG“ broj 64/17, 44/18, 63/18, 11/19 i 82/20) te članom 8 Odluke o izgradnji lokalnih objekata od opšteg interesa („Sl. list Crne Gore“ – opštinski propisi, broj 18/14,</w:t>
            </w:r>
            <w:r w:rsidR="000C6513">
              <w:rPr>
                <w:rFonts w:ascii="Arial" w:hAnsi="Arial" w:cs="Arial"/>
                <w:bCs/>
                <w:sz w:val="22"/>
                <w:szCs w:val="22"/>
              </w:rPr>
              <w:t>42/15, 28/16 i 7/21 ) pristupila</w:t>
            </w:r>
            <w:r w:rsidRPr="00642F3C">
              <w:rPr>
                <w:rFonts w:ascii="Arial" w:hAnsi="Arial" w:cs="Arial"/>
                <w:bCs/>
                <w:sz w:val="22"/>
                <w:szCs w:val="22"/>
              </w:rPr>
              <w:t xml:space="preserve"> stvaranju preduslova za </w:t>
            </w:r>
            <w:r>
              <w:rPr>
                <w:rFonts w:ascii="Arial" w:hAnsi="Arial" w:cs="Arial"/>
                <w:bCs/>
                <w:sz w:val="22"/>
                <w:szCs w:val="22"/>
              </w:rPr>
              <w:t xml:space="preserve">realizaciju navedenog projekta, čija je </w:t>
            </w:r>
            <w:r w:rsidR="009E125C">
              <w:rPr>
                <w:rFonts w:ascii="Arial" w:hAnsi="Arial" w:cs="Arial"/>
                <w:bCs/>
                <w:sz w:val="22"/>
                <w:szCs w:val="22"/>
              </w:rPr>
              <w:t>prva faza,</w:t>
            </w:r>
            <w:r>
              <w:rPr>
                <w:rFonts w:ascii="Arial" w:hAnsi="Arial" w:cs="Arial"/>
                <w:bCs/>
                <w:sz w:val="22"/>
                <w:szCs w:val="22"/>
              </w:rPr>
              <w:t xml:space="preserve"> saglasno Planu korišćenja sredstava JPMD na koji saglasnost dala Vlada Crne Gore, planirana za </w:t>
            </w:r>
            <w:r w:rsidR="009E125C">
              <w:rPr>
                <w:rFonts w:ascii="Arial" w:hAnsi="Arial" w:cs="Arial"/>
                <w:bCs/>
                <w:sz w:val="22"/>
                <w:szCs w:val="22"/>
              </w:rPr>
              <w:t>2022. godinu.</w:t>
            </w:r>
          </w:p>
          <w:p w:rsidR="0015361D" w:rsidRDefault="0015361D" w:rsidP="00642F3C">
            <w:pPr>
              <w:tabs>
                <w:tab w:val="left" w:pos="6915"/>
              </w:tabs>
              <w:jc w:val="both"/>
              <w:rPr>
                <w:rFonts w:ascii="Arial" w:hAnsi="Arial" w:cs="Arial"/>
                <w:bCs/>
                <w:sz w:val="22"/>
                <w:szCs w:val="22"/>
              </w:rPr>
            </w:pPr>
          </w:p>
          <w:p w:rsidR="009E125C" w:rsidRDefault="009E125C" w:rsidP="00642F3C">
            <w:pPr>
              <w:tabs>
                <w:tab w:val="left" w:pos="6915"/>
              </w:tabs>
              <w:jc w:val="both"/>
              <w:rPr>
                <w:rFonts w:ascii="Arial" w:hAnsi="Arial" w:cs="Arial"/>
                <w:bCs/>
                <w:sz w:val="22"/>
                <w:szCs w:val="22"/>
              </w:rPr>
            </w:pPr>
            <w:r>
              <w:rPr>
                <w:rFonts w:ascii="Arial" w:hAnsi="Arial" w:cs="Arial"/>
                <w:bCs/>
                <w:sz w:val="22"/>
                <w:szCs w:val="22"/>
              </w:rPr>
              <w:t>U saradnji sa predstavnicima JPMD, „Vodovod i kanalizacija“doo te obrađivačem faze hidrotehnike Izmjena i dopuna Prostornog plana Opštine Tivat pristupilo se formulisanju Nacrta programskog zadatka sa elementima urbanističko-tehničkih uslova.</w:t>
            </w:r>
            <w:r w:rsidR="000C6513">
              <w:rPr>
                <w:rFonts w:ascii="Arial" w:hAnsi="Arial" w:cs="Arial"/>
                <w:bCs/>
                <w:sz w:val="22"/>
                <w:szCs w:val="22"/>
              </w:rPr>
              <w:t xml:space="preserve"> </w:t>
            </w:r>
            <w:r w:rsidR="000C6513">
              <w:rPr>
                <w:rFonts w:ascii="Arial" w:hAnsi="Arial" w:cs="Arial"/>
                <w:b/>
                <w:bCs/>
                <w:sz w:val="22"/>
                <w:szCs w:val="22"/>
              </w:rPr>
              <w:t>Rješenje</w:t>
            </w:r>
            <w:r w:rsidR="000C6513" w:rsidRPr="000C6513">
              <w:rPr>
                <w:rFonts w:ascii="Arial" w:hAnsi="Arial" w:cs="Arial"/>
                <w:b/>
                <w:bCs/>
                <w:sz w:val="22"/>
                <w:szCs w:val="22"/>
              </w:rPr>
              <w:t xml:space="preserve"> planirane vodovodne i kanalizacione strukture biće </w:t>
            </w:r>
            <w:r w:rsidR="000C6513">
              <w:rPr>
                <w:rFonts w:ascii="Arial" w:hAnsi="Arial" w:cs="Arial"/>
                <w:b/>
                <w:bCs/>
                <w:sz w:val="22"/>
                <w:szCs w:val="22"/>
              </w:rPr>
              <w:t>dio</w:t>
            </w:r>
            <w:r w:rsidR="000C6513" w:rsidRPr="000C6513">
              <w:rPr>
                <w:rFonts w:ascii="Arial" w:hAnsi="Arial" w:cs="Arial"/>
                <w:b/>
                <w:bCs/>
                <w:sz w:val="22"/>
                <w:szCs w:val="22"/>
              </w:rPr>
              <w:t xml:space="preserve"> I</w:t>
            </w:r>
            <w:r w:rsidR="000C6513">
              <w:rPr>
                <w:rFonts w:ascii="Arial" w:hAnsi="Arial" w:cs="Arial"/>
                <w:b/>
                <w:bCs/>
                <w:sz w:val="22"/>
                <w:szCs w:val="22"/>
              </w:rPr>
              <w:t>zmjena i dopuna</w:t>
            </w:r>
            <w:r w:rsidR="000C6513" w:rsidRPr="000C6513">
              <w:rPr>
                <w:rFonts w:ascii="Arial" w:hAnsi="Arial" w:cs="Arial"/>
                <w:b/>
                <w:bCs/>
                <w:sz w:val="22"/>
                <w:szCs w:val="22"/>
              </w:rPr>
              <w:t xml:space="preserve"> Prostornog plana Opštine Tivat te je definisan</w:t>
            </w:r>
            <w:r w:rsidR="000C6513">
              <w:rPr>
                <w:rFonts w:ascii="Arial" w:hAnsi="Arial" w:cs="Arial"/>
                <w:b/>
                <w:bCs/>
                <w:sz w:val="22"/>
                <w:szCs w:val="22"/>
              </w:rPr>
              <w:t>o</w:t>
            </w:r>
            <w:r w:rsidR="000C6513" w:rsidRPr="000C6513">
              <w:rPr>
                <w:rFonts w:ascii="Arial" w:hAnsi="Arial" w:cs="Arial"/>
                <w:b/>
                <w:bCs/>
                <w:sz w:val="22"/>
                <w:szCs w:val="22"/>
              </w:rPr>
              <w:t xml:space="preserve"> i usaglašen</w:t>
            </w:r>
            <w:r w:rsidR="000C6513">
              <w:rPr>
                <w:rFonts w:ascii="Arial" w:hAnsi="Arial" w:cs="Arial"/>
                <w:b/>
                <w:bCs/>
                <w:sz w:val="22"/>
                <w:szCs w:val="22"/>
              </w:rPr>
              <w:t>o</w:t>
            </w:r>
            <w:r w:rsidR="000C6513" w:rsidRPr="000C6513">
              <w:rPr>
                <w:rFonts w:ascii="Arial" w:hAnsi="Arial" w:cs="Arial"/>
                <w:b/>
                <w:bCs/>
                <w:sz w:val="22"/>
                <w:szCs w:val="22"/>
              </w:rPr>
              <w:t xml:space="preserve"> za područje od Sv.Roka do Lepetana, </w:t>
            </w:r>
            <w:r w:rsidR="000C6513" w:rsidRPr="00533BBA">
              <w:rPr>
                <w:rFonts w:ascii="Arial" w:hAnsi="Arial" w:cs="Arial"/>
                <w:b/>
                <w:bCs/>
                <w:sz w:val="22"/>
                <w:szCs w:val="22"/>
                <w:u w:val="single"/>
              </w:rPr>
              <w:t>ali se nacrtom programskog zadatka tretira dio infrastrukture</w:t>
            </w:r>
            <w:r w:rsidR="00533BBA">
              <w:rPr>
                <w:rFonts w:ascii="Arial" w:hAnsi="Arial" w:cs="Arial"/>
                <w:b/>
                <w:bCs/>
                <w:sz w:val="22"/>
                <w:szCs w:val="22"/>
                <w:u w:val="single"/>
              </w:rPr>
              <w:t xml:space="preserve"> vodovoda i ikanalizacije</w:t>
            </w:r>
            <w:r w:rsidR="000C6513" w:rsidRPr="00533BBA">
              <w:rPr>
                <w:rFonts w:ascii="Arial" w:hAnsi="Arial" w:cs="Arial"/>
                <w:b/>
                <w:bCs/>
                <w:sz w:val="22"/>
                <w:szCs w:val="22"/>
                <w:u w:val="single"/>
              </w:rPr>
              <w:t xml:space="preserve"> koji se planira u trupu budućeg šetališta.</w:t>
            </w:r>
          </w:p>
          <w:p w:rsidR="0015361D" w:rsidRDefault="0015361D" w:rsidP="009E125C">
            <w:pPr>
              <w:tabs>
                <w:tab w:val="left" w:pos="6915"/>
              </w:tabs>
              <w:jc w:val="both"/>
              <w:rPr>
                <w:rFonts w:ascii="Arial" w:hAnsi="Arial" w:cs="Arial"/>
                <w:b/>
                <w:bCs/>
                <w:sz w:val="22"/>
                <w:szCs w:val="22"/>
              </w:rPr>
            </w:pPr>
          </w:p>
          <w:p w:rsidR="00226D34" w:rsidRDefault="00226D34" w:rsidP="009E125C">
            <w:pPr>
              <w:tabs>
                <w:tab w:val="left" w:pos="6915"/>
              </w:tabs>
              <w:jc w:val="both"/>
              <w:rPr>
                <w:rFonts w:ascii="Arial" w:hAnsi="Arial" w:cs="Arial"/>
                <w:b/>
                <w:bCs/>
                <w:sz w:val="22"/>
                <w:szCs w:val="22"/>
              </w:rPr>
            </w:pPr>
          </w:p>
          <w:p w:rsidR="00226D34" w:rsidRPr="0015361D" w:rsidRDefault="00226D34" w:rsidP="009E125C">
            <w:pPr>
              <w:tabs>
                <w:tab w:val="left" w:pos="6915"/>
              </w:tabs>
              <w:jc w:val="both"/>
              <w:rPr>
                <w:rFonts w:ascii="Arial" w:hAnsi="Arial" w:cs="Arial"/>
                <w:b/>
                <w:bCs/>
                <w:sz w:val="22"/>
                <w:szCs w:val="22"/>
              </w:rPr>
            </w:pPr>
          </w:p>
          <w:p w:rsidR="009E125C" w:rsidRDefault="009E125C" w:rsidP="009E125C">
            <w:pPr>
              <w:tabs>
                <w:tab w:val="left" w:pos="6915"/>
              </w:tabs>
              <w:ind w:left="720"/>
              <w:jc w:val="both"/>
              <w:rPr>
                <w:rFonts w:ascii="Arial" w:hAnsi="Arial" w:cs="Arial"/>
                <w:b/>
                <w:bCs/>
                <w:color w:val="1F497D" w:themeColor="text2"/>
                <w:sz w:val="22"/>
                <w:szCs w:val="22"/>
              </w:rPr>
            </w:pPr>
            <w:r w:rsidRPr="00533BBA">
              <w:rPr>
                <w:rFonts w:ascii="Arial" w:hAnsi="Arial" w:cs="Arial"/>
                <w:b/>
                <w:bCs/>
                <w:color w:val="1F497D" w:themeColor="text2"/>
                <w:sz w:val="22"/>
                <w:szCs w:val="22"/>
              </w:rPr>
              <w:lastRenderedPageBreak/>
              <w:t>VODOVOD-</w:t>
            </w:r>
            <w:r w:rsidR="00533BBA" w:rsidRPr="00533BBA">
              <w:rPr>
                <w:rFonts w:ascii="Arial" w:hAnsi="Arial" w:cs="Arial"/>
                <w:b/>
                <w:bCs/>
                <w:color w:val="1F497D" w:themeColor="text2"/>
                <w:sz w:val="22"/>
                <w:szCs w:val="22"/>
              </w:rPr>
              <w:t>analiza postojećeg i planiranog stanja</w:t>
            </w:r>
          </w:p>
          <w:p w:rsidR="0013616D" w:rsidRPr="00533BBA" w:rsidRDefault="0013616D" w:rsidP="009E125C">
            <w:pPr>
              <w:tabs>
                <w:tab w:val="left" w:pos="6915"/>
              </w:tabs>
              <w:ind w:left="720"/>
              <w:jc w:val="both"/>
              <w:rPr>
                <w:rFonts w:ascii="Arial" w:hAnsi="Arial" w:cs="Arial"/>
                <w:b/>
                <w:bCs/>
                <w:color w:val="1F497D" w:themeColor="text2"/>
                <w:sz w:val="22"/>
                <w:szCs w:val="22"/>
              </w:rPr>
            </w:pPr>
          </w:p>
          <w:p w:rsidR="00533BBA" w:rsidRPr="00533BBA" w:rsidRDefault="00533BBA" w:rsidP="00533BBA">
            <w:pPr>
              <w:jc w:val="both"/>
              <w:rPr>
                <w:rFonts w:ascii="Arial" w:hAnsi="Arial" w:cs="Arial"/>
                <w:sz w:val="22"/>
                <w:szCs w:val="22"/>
              </w:rPr>
            </w:pPr>
            <w:r w:rsidRPr="00533BBA">
              <w:rPr>
                <w:rFonts w:ascii="Arial" w:hAnsi="Arial" w:cs="Arial"/>
                <w:sz w:val="22"/>
                <w:szCs w:val="22"/>
              </w:rPr>
              <w:t>Sistem za vodosnabdijevanje područja Lepetana i Opatova proteže se uglavnom u priobalnom pojasu od UP Opatovo do najsjevernje tačke naselja Lepetani, to jest najudaljenije tačke naselja Lepetani gledano iz pravaca Tivta duž Jadranske magistrale. Predmetno području se snabdijeva vodom iz izvorišta Plavd</w:t>
            </w:r>
            <w:r w:rsidR="0013616D">
              <w:rPr>
                <w:rFonts w:ascii="Arial" w:hAnsi="Arial" w:cs="Arial"/>
                <w:sz w:val="22"/>
                <w:szCs w:val="22"/>
              </w:rPr>
              <w:t>a. Izvorište Plavda se nalazi</w:t>
            </w:r>
            <w:r w:rsidRPr="00533BBA">
              <w:rPr>
                <w:rFonts w:ascii="Arial" w:hAnsi="Arial" w:cs="Arial"/>
                <w:sz w:val="22"/>
                <w:szCs w:val="22"/>
              </w:rPr>
              <w:t xml:space="preserve"> u samom naselj</w:t>
            </w:r>
            <w:r w:rsidR="0013616D">
              <w:rPr>
                <w:rFonts w:ascii="Arial" w:hAnsi="Arial" w:cs="Arial"/>
                <w:sz w:val="22"/>
                <w:szCs w:val="22"/>
              </w:rPr>
              <w:t>u Lepetani na svega nekoliko me</w:t>
            </w:r>
            <w:r w:rsidRPr="00533BBA">
              <w:rPr>
                <w:rFonts w:ascii="Arial" w:hAnsi="Arial" w:cs="Arial"/>
                <w:sz w:val="22"/>
                <w:szCs w:val="22"/>
              </w:rPr>
              <w:t>tara iznad površine mora. Prema PUP-u Tivat kapacitet izvorišta u minimumu iznosi 20,00l/s. Objekat pumpne stanice je postavljen direkt</w:t>
            </w:r>
            <w:r w:rsidR="0013616D">
              <w:rPr>
                <w:rFonts w:ascii="Arial" w:hAnsi="Arial" w:cs="Arial"/>
                <w:sz w:val="22"/>
                <w:szCs w:val="22"/>
              </w:rPr>
              <w:t>no kod vodoizvorišta. P</w:t>
            </w:r>
            <w:r w:rsidRPr="00533BBA">
              <w:rPr>
                <w:rFonts w:ascii="Arial" w:hAnsi="Arial" w:cs="Arial"/>
                <w:sz w:val="22"/>
                <w:szCs w:val="22"/>
              </w:rPr>
              <w:t xml:space="preserve">redmetno područje </w:t>
            </w:r>
            <w:r w:rsidR="0013616D">
              <w:rPr>
                <w:rFonts w:ascii="Arial" w:hAnsi="Arial" w:cs="Arial"/>
                <w:sz w:val="22"/>
                <w:szCs w:val="22"/>
              </w:rPr>
              <w:t xml:space="preserve">je podijeljeno </w:t>
            </w:r>
            <w:r w:rsidRPr="00533BBA">
              <w:rPr>
                <w:rFonts w:ascii="Arial" w:hAnsi="Arial" w:cs="Arial"/>
                <w:sz w:val="22"/>
                <w:szCs w:val="22"/>
              </w:rPr>
              <w:t xml:space="preserve"> u dvije zone:</w:t>
            </w:r>
          </w:p>
          <w:p w:rsidR="00533BBA" w:rsidRPr="00533BBA" w:rsidRDefault="00533BBA" w:rsidP="00533BBA">
            <w:pPr>
              <w:pStyle w:val="ListParagraph"/>
              <w:widowControl w:val="0"/>
              <w:numPr>
                <w:ilvl w:val="0"/>
                <w:numId w:val="36"/>
              </w:numPr>
              <w:contextualSpacing w:val="0"/>
              <w:rPr>
                <w:rFonts w:ascii="Arial" w:hAnsi="Arial" w:cs="Arial"/>
                <w:sz w:val="22"/>
                <w:szCs w:val="22"/>
              </w:rPr>
            </w:pPr>
            <w:r w:rsidRPr="00533BBA">
              <w:rPr>
                <w:rFonts w:ascii="Arial" w:hAnsi="Arial" w:cs="Arial"/>
                <w:sz w:val="22"/>
                <w:szCs w:val="22"/>
              </w:rPr>
              <w:t>Zona 1 –sjeverno od vodoizvorišta Plavda</w:t>
            </w:r>
          </w:p>
          <w:p w:rsidR="00533BBA" w:rsidRPr="00533BBA" w:rsidRDefault="00533BBA" w:rsidP="00533BBA">
            <w:pPr>
              <w:pStyle w:val="ListParagraph"/>
              <w:widowControl w:val="0"/>
              <w:numPr>
                <w:ilvl w:val="0"/>
                <w:numId w:val="36"/>
              </w:numPr>
              <w:contextualSpacing w:val="0"/>
              <w:rPr>
                <w:rFonts w:ascii="Arial" w:hAnsi="Arial" w:cs="Arial"/>
                <w:sz w:val="22"/>
                <w:szCs w:val="22"/>
              </w:rPr>
            </w:pPr>
            <w:r w:rsidRPr="00533BBA">
              <w:rPr>
                <w:rFonts w:ascii="Arial" w:hAnsi="Arial" w:cs="Arial"/>
                <w:sz w:val="22"/>
                <w:szCs w:val="22"/>
              </w:rPr>
              <w:t>Zona 2 – južno od vodoizvorišta Plavda</w:t>
            </w:r>
          </w:p>
          <w:p w:rsidR="00533BBA" w:rsidRPr="00533BBA" w:rsidRDefault="00533BBA" w:rsidP="00533BBA">
            <w:pPr>
              <w:rPr>
                <w:rFonts w:ascii="Arial" w:hAnsi="Arial" w:cs="Arial"/>
                <w:sz w:val="22"/>
                <w:szCs w:val="22"/>
              </w:rPr>
            </w:pPr>
          </w:p>
          <w:p w:rsidR="00533BBA" w:rsidRDefault="00533BBA" w:rsidP="00533BBA">
            <w:pPr>
              <w:jc w:val="both"/>
              <w:rPr>
                <w:rFonts w:ascii="Arial" w:hAnsi="Arial" w:cs="Arial"/>
                <w:sz w:val="22"/>
                <w:szCs w:val="22"/>
              </w:rPr>
            </w:pPr>
            <w:r w:rsidRPr="00533BBA">
              <w:rPr>
                <w:rFonts w:ascii="Arial" w:hAnsi="Arial" w:cs="Arial"/>
                <w:sz w:val="22"/>
                <w:szCs w:val="22"/>
              </w:rPr>
              <w:t xml:space="preserve">Prema „Zoni 1“ je postavljen cjevovod PEHD DN160. Ovaj cjevovod je u doobrom stanju, zbog nedavno izvršene rekonstrukcije. U blizini trajekta ovaj cjevovod se grana u dva smjera, jedna cijev profila DN110 mm prati ivicu saobraćajnice, snabdijevajući vodom priobalni dio naselja „Zone 1“, a druga cijev takođe profila DN110 je položena u ulici pored crkve do kote 40,00mnm i vodom snabdijeva visočije zone. </w:t>
            </w:r>
            <w:r w:rsidRPr="0013616D">
              <w:rPr>
                <w:rFonts w:ascii="Arial" w:hAnsi="Arial" w:cs="Arial"/>
                <w:b/>
                <w:sz w:val="22"/>
                <w:szCs w:val="22"/>
              </w:rPr>
              <w:t>Predviđa se izmještanje svih postojećih cjevovoda sa urbanističkih parcela u javne površine .</w:t>
            </w:r>
            <w:r w:rsidRPr="00533BBA">
              <w:rPr>
                <w:rFonts w:ascii="Arial" w:hAnsi="Arial" w:cs="Arial"/>
                <w:sz w:val="22"/>
                <w:szCs w:val="22"/>
              </w:rPr>
              <w:t xml:space="preserve"> Za objekte planirane na visočijim kotama „Zone 1“ predviđena je stanica za povećanje pritiska na koti cca 45,00mnm. </w:t>
            </w:r>
          </w:p>
          <w:p w:rsidR="0013616D" w:rsidRPr="00533BBA" w:rsidRDefault="0013616D" w:rsidP="00533BBA">
            <w:pPr>
              <w:jc w:val="both"/>
              <w:rPr>
                <w:rFonts w:ascii="Arial" w:hAnsi="Arial" w:cs="Arial"/>
                <w:sz w:val="22"/>
                <w:szCs w:val="22"/>
              </w:rPr>
            </w:pPr>
          </w:p>
          <w:p w:rsidR="00533BBA" w:rsidRPr="0013616D" w:rsidRDefault="00533BBA" w:rsidP="00533BBA">
            <w:pPr>
              <w:jc w:val="both"/>
              <w:rPr>
                <w:rFonts w:ascii="Arial" w:hAnsi="Arial" w:cs="Arial"/>
                <w:b/>
                <w:sz w:val="22"/>
                <w:szCs w:val="22"/>
              </w:rPr>
            </w:pPr>
            <w:r w:rsidRPr="00533BBA">
              <w:rPr>
                <w:rFonts w:ascii="Arial" w:hAnsi="Arial" w:cs="Arial"/>
                <w:sz w:val="22"/>
                <w:szCs w:val="22"/>
              </w:rPr>
              <w:t>Kroz „Zonu 2“ od vodoizvorišta Plavda vode dva cjevovoda DN200 i DN125, koji su po</w:t>
            </w:r>
            <w:r w:rsidR="0013616D">
              <w:rPr>
                <w:rFonts w:ascii="Arial" w:hAnsi="Arial" w:cs="Arial"/>
                <w:sz w:val="22"/>
                <w:szCs w:val="22"/>
              </w:rPr>
              <w:t>vezani sa rezervoarom „Pod Kuk“</w:t>
            </w:r>
            <w:r w:rsidRPr="00533BBA">
              <w:rPr>
                <w:rFonts w:ascii="Arial" w:hAnsi="Arial" w:cs="Arial"/>
                <w:sz w:val="22"/>
                <w:szCs w:val="22"/>
              </w:rPr>
              <w:t xml:space="preserve">. </w:t>
            </w:r>
            <w:r w:rsidRPr="0013616D">
              <w:rPr>
                <w:rFonts w:ascii="Arial" w:hAnsi="Arial" w:cs="Arial"/>
                <w:b/>
                <w:sz w:val="22"/>
                <w:szCs w:val="22"/>
              </w:rPr>
              <w:t>Predviđa se ukidanje dva postojeća cjevovoda i u sklopu izgradnje budućeg šetališta Lungomare planira se izgradnja cjevovoda PEHD DN315 do vodoizvorišta i PS Plavda</w:t>
            </w:r>
            <w:r w:rsidRPr="00533BBA">
              <w:rPr>
                <w:rFonts w:ascii="Arial" w:hAnsi="Arial" w:cs="Arial"/>
                <w:sz w:val="22"/>
                <w:szCs w:val="22"/>
              </w:rPr>
              <w:t xml:space="preserve">.  Na planiranom cjevovodu DN315 planirani su priključci za vodosnabdijevanje „Zone 2“ kao i naselja smješetenog duž Jadranske magistrale južno od UP Opatovo. Predviđeni priključci na cjevovodu su minimalnog prečnika </w:t>
            </w:r>
            <w:r w:rsidRPr="00E32E56">
              <w:rPr>
                <w:rFonts w:ascii="Arial" w:hAnsi="Arial" w:cs="Arial"/>
                <w:b/>
                <w:sz w:val="22"/>
                <w:szCs w:val="22"/>
              </w:rPr>
              <w:t>DN110</w:t>
            </w:r>
            <w:r w:rsidRPr="00533BBA">
              <w:rPr>
                <w:rFonts w:ascii="Arial" w:hAnsi="Arial" w:cs="Arial"/>
                <w:sz w:val="22"/>
                <w:szCs w:val="22"/>
              </w:rPr>
              <w:t xml:space="preserve"> kako bi se obezbijedila eventulana ugradnja uličnih hidran</w:t>
            </w:r>
            <w:r w:rsidR="0013616D">
              <w:rPr>
                <w:rFonts w:ascii="Arial" w:hAnsi="Arial" w:cs="Arial"/>
                <w:sz w:val="22"/>
                <w:szCs w:val="22"/>
              </w:rPr>
              <w:t>a</w:t>
            </w:r>
            <w:r w:rsidRPr="00533BBA">
              <w:rPr>
                <w:rFonts w:ascii="Arial" w:hAnsi="Arial" w:cs="Arial"/>
                <w:sz w:val="22"/>
                <w:szCs w:val="22"/>
              </w:rPr>
              <w:t xml:space="preserve">ta, koji bi pokrili predmetne zone. </w:t>
            </w:r>
            <w:r w:rsidRPr="0013616D">
              <w:rPr>
                <w:rFonts w:ascii="Arial" w:hAnsi="Arial" w:cs="Arial"/>
                <w:b/>
                <w:sz w:val="22"/>
                <w:szCs w:val="22"/>
              </w:rPr>
              <w:t xml:space="preserve">Predviđa se izmještanje svih postojećih cjevovoda sa urbanističkih pracela u javne površine. </w:t>
            </w:r>
          </w:p>
          <w:p w:rsidR="0013616D" w:rsidRDefault="0013616D" w:rsidP="00533BBA">
            <w:pPr>
              <w:jc w:val="both"/>
              <w:rPr>
                <w:rFonts w:ascii="Arial" w:hAnsi="Arial" w:cs="Arial"/>
                <w:sz w:val="22"/>
                <w:szCs w:val="22"/>
              </w:rPr>
            </w:pPr>
          </w:p>
          <w:p w:rsidR="00533BBA" w:rsidRDefault="00533BBA" w:rsidP="00533BBA">
            <w:pPr>
              <w:jc w:val="both"/>
              <w:rPr>
                <w:rFonts w:ascii="Arial" w:hAnsi="Arial" w:cs="Arial"/>
                <w:sz w:val="22"/>
                <w:szCs w:val="22"/>
              </w:rPr>
            </w:pPr>
            <w:r w:rsidRPr="00533BBA">
              <w:rPr>
                <w:rFonts w:ascii="Arial" w:hAnsi="Arial" w:cs="Arial"/>
                <w:sz w:val="22"/>
                <w:szCs w:val="22"/>
              </w:rPr>
              <w:t xml:space="preserve">Duž Jadranske magistrale na dijelu predmetnog područja izgrađen je regionalni vodovod DN500. </w:t>
            </w:r>
            <w:r w:rsidRPr="0013616D">
              <w:rPr>
                <w:rFonts w:ascii="Arial" w:hAnsi="Arial" w:cs="Arial"/>
                <w:b/>
                <w:sz w:val="22"/>
                <w:szCs w:val="22"/>
              </w:rPr>
              <w:t>Prilikom projektovanja nove planirane hidrotehničke infrastrukture potrebno je novoprojektovane instalacije voditi paralelno sa postojećim distributivnim regionalnim vodovodom na propisnoj udaljenosti.</w:t>
            </w:r>
            <w:r w:rsidRPr="00533BBA">
              <w:rPr>
                <w:rFonts w:ascii="Arial" w:hAnsi="Arial" w:cs="Arial"/>
                <w:sz w:val="22"/>
                <w:szCs w:val="22"/>
              </w:rPr>
              <w:t xml:space="preserve">  </w:t>
            </w:r>
          </w:p>
          <w:p w:rsidR="0013616D" w:rsidRPr="00533BBA" w:rsidRDefault="0013616D" w:rsidP="00533BBA">
            <w:pPr>
              <w:jc w:val="both"/>
              <w:rPr>
                <w:rFonts w:ascii="Arial" w:hAnsi="Arial" w:cs="Arial"/>
                <w:sz w:val="22"/>
                <w:szCs w:val="22"/>
              </w:rPr>
            </w:pPr>
          </w:p>
          <w:p w:rsidR="00533BBA" w:rsidRDefault="00533BBA" w:rsidP="00533BBA">
            <w:pPr>
              <w:jc w:val="both"/>
              <w:rPr>
                <w:rFonts w:ascii="Arial" w:hAnsi="Arial" w:cs="Arial"/>
                <w:sz w:val="22"/>
                <w:szCs w:val="22"/>
              </w:rPr>
            </w:pPr>
            <w:r w:rsidRPr="00533BBA">
              <w:rPr>
                <w:rFonts w:ascii="Arial" w:hAnsi="Arial" w:cs="Arial"/>
                <w:sz w:val="22"/>
                <w:szCs w:val="22"/>
              </w:rPr>
              <w:t xml:space="preserve">Za izradu ulične vodovodne mreže prdvidjeti PEHD cijevi klase </w:t>
            </w:r>
            <w:r w:rsidRPr="00E32E56">
              <w:rPr>
                <w:rFonts w:ascii="Arial" w:hAnsi="Arial" w:cs="Arial"/>
                <w:b/>
                <w:sz w:val="22"/>
                <w:szCs w:val="22"/>
              </w:rPr>
              <w:t>PE100</w:t>
            </w:r>
            <w:r w:rsidRPr="00533BBA">
              <w:rPr>
                <w:rFonts w:ascii="Arial" w:hAnsi="Arial" w:cs="Arial"/>
                <w:sz w:val="22"/>
                <w:szCs w:val="22"/>
              </w:rPr>
              <w:t>, za izradu čvorova livenogvozdeni fazonski komadi i armature. Prili</w:t>
            </w:r>
            <w:r w:rsidR="0013616D">
              <w:rPr>
                <w:rFonts w:ascii="Arial" w:hAnsi="Arial" w:cs="Arial"/>
                <w:sz w:val="22"/>
                <w:szCs w:val="22"/>
              </w:rPr>
              <w:t>kom projektovanja je potrebno</w:t>
            </w:r>
            <w:r w:rsidRPr="00533BBA">
              <w:rPr>
                <w:rFonts w:ascii="Arial" w:hAnsi="Arial" w:cs="Arial"/>
                <w:sz w:val="22"/>
                <w:szCs w:val="22"/>
              </w:rPr>
              <w:t xml:space="preserve"> pridržavati se pravilnika i uslova javnog preduzeća zaduženog za održavanje vodovodne mreže. </w:t>
            </w:r>
          </w:p>
          <w:p w:rsidR="007C3F51" w:rsidRPr="00F06BE7" w:rsidRDefault="007C3F51" w:rsidP="00533BBA">
            <w:pPr>
              <w:jc w:val="both"/>
              <w:rPr>
                <w:rFonts w:ascii="Arial" w:hAnsi="Arial" w:cs="Arial"/>
                <w:b/>
                <w:sz w:val="22"/>
                <w:szCs w:val="22"/>
              </w:rPr>
            </w:pPr>
          </w:p>
          <w:p w:rsidR="007C3F51" w:rsidRPr="00F06BE7" w:rsidRDefault="007C3F51" w:rsidP="00533BBA">
            <w:pPr>
              <w:jc w:val="both"/>
              <w:rPr>
                <w:rFonts w:ascii="Arial" w:hAnsi="Arial" w:cs="Arial"/>
                <w:b/>
                <w:sz w:val="22"/>
                <w:szCs w:val="22"/>
              </w:rPr>
            </w:pPr>
            <w:r w:rsidRPr="00F06BE7">
              <w:rPr>
                <w:rFonts w:ascii="Arial" w:hAnsi="Arial" w:cs="Arial"/>
                <w:b/>
                <w:sz w:val="22"/>
                <w:szCs w:val="22"/>
              </w:rPr>
              <w:t>Predmet programskog zadatka je trasa vodovodne infrastrukture(planiranih cijevi)  u trupu šetališta od vodoizvorišta Plavda, a preko kat.parc.br.472 KO Lepetani i 745 KO Donja Lastva</w:t>
            </w:r>
            <w:r w:rsidR="00174EAE">
              <w:rPr>
                <w:rFonts w:ascii="Arial" w:hAnsi="Arial" w:cs="Arial"/>
                <w:b/>
                <w:sz w:val="22"/>
                <w:szCs w:val="22"/>
              </w:rPr>
              <w:t xml:space="preserve"> u skladu sa navedenim uslovima</w:t>
            </w:r>
            <w:r w:rsidR="00F06BE7" w:rsidRPr="00F06BE7">
              <w:rPr>
                <w:rFonts w:ascii="Arial" w:hAnsi="Arial" w:cs="Arial"/>
                <w:b/>
                <w:sz w:val="22"/>
                <w:szCs w:val="22"/>
              </w:rPr>
              <w:t>.</w:t>
            </w:r>
          </w:p>
          <w:p w:rsidR="00533BBA" w:rsidRPr="00533BBA" w:rsidRDefault="00533BBA" w:rsidP="00533BBA">
            <w:pPr>
              <w:jc w:val="both"/>
              <w:rPr>
                <w:rFonts w:ascii="Arial" w:hAnsi="Arial" w:cs="Arial"/>
                <w:sz w:val="22"/>
                <w:szCs w:val="22"/>
              </w:rPr>
            </w:pPr>
          </w:p>
          <w:p w:rsidR="0013616D" w:rsidRDefault="0013616D" w:rsidP="0013616D">
            <w:pPr>
              <w:tabs>
                <w:tab w:val="left" w:pos="6915"/>
              </w:tabs>
              <w:ind w:left="720"/>
              <w:jc w:val="both"/>
              <w:rPr>
                <w:rFonts w:ascii="Arial" w:hAnsi="Arial" w:cs="Arial"/>
                <w:b/>
                <w:bCs/>
                <w:color w:val="1F497D" w:themeColor="text2"/>
                <w:sz w:val="22"/>
                <w:szCs w:val="22"/>
              </w:rPr>
            </w:pPr>
            <w:r>
              <w:rPr>
                <w:rFonts w:ascii="Arial" w:hAnsi="Arial" w:cs="Arial"/>
                <w:b/>
                <w:bCs/>
                <w:color w:val="1F497D" w:themeColor="text2"/>
                <w:sz w:val="22"/>
                <w:szCs w:val="22"/>
              </w:rPr>
              <w:t>KANALIZACIJA</w:t>
            </w:r>
            <w:r w:rsidRPr="00533BBA">
              <w:rPr>
                <w:rFonts w:ascii="Arial" w:hAnsi="Arial" w:cs="Arial"/>
                <w:b/>
                <w:bCs/>
                <w:color w:val="1F497D" w:themeColor="text2"/>
                <w:sz w:val="22"/>
                <w:szCs w:val="22"/>
              </w:rPr>
              <w:t>-analiza postojećeg i planiranog stanja</w:t>
            </w:r>
          </w:p>
          <w:p w:rsidR="00533BBA" w:rsidRPr="00533BBA" w:rsidRDefault="00533BBA" w:rsidP="0013616D">
            <w:pPr>
              <w:tabs>
                <w:tab w:val="left" w:pos="6915"/>
              </w:tabs>
              <w:jc w:val="both"/>
              <w:rPr>
                <w:rFonts w:ascii="Arial" w:hAnsi="Arial" w:cs="Arial"/>
                <w:b/>
                <w:bCs/>
                <w:color w:val="1F497D" w:themeColor="text2"/>
                <w:sz w:val="22"/>
                <w:szCs w:val="22"/>
              </w:rPr>
            </w:pPr>
          </w:p>
          <w:p w:rsidR="00E32E56" w:rsidRDefault="00533BBA" w:rsidP="00533BBA">
            <w:pPr>
              <w:jc w:val="both"/>
              <w:rPr>
                <w:rFonts w:ascii="Arial" w:hAnsi="Arial" w:cs="Arial"/>
                <w:sz w:val="22"/>
                <w:szCs w:val="22"/>
              </w:rPr>
            </w:pPr>
            <w:r>
              <w:rPr>
                <w:rFonts w:ascii="Arial" w:hAnsi="Arial" w:cs="Arial"/>
                <w:sz w:val="22"/>
                <w:szCs w:val="22"/>
              </w:rPr>
              <w:t>N</w:t>
            </w:r>
            <w:r w:rsidRPr="00533BBA">
              <w:rPr>
                <w:rFonts w:ascii="Arial" w:hAnsi="Arial" w:cs="Arial"/>
                <w:sz w:val="22"/>
                <w:szCs w:val="22"/>
              </w:rPr>
              <w:t>aselje Lepetane smješteno</w:t>
            </w:r>
            <w:r>
              <w:rPr>
                <w:rFonts w:ascii="Arial" w:hAnsi="Arial" w:cs="Arial"/>
                <w:sz w:val="22"/>
                <w:szCs w:val="22"/>
              </w:rPr>
              <w:t xml:space="preserve"> je</w:t>
            </w:r>
            <w:r w:rsidRPr="00533BBA">
              <w:rPr>
                <w:rFonts w:ascii="Arial" w:hAnsi="Arial" w:cs="Arial"/>
                <w:sz w:val="22"/>
                <w:szCs w:val="22"/>
              </w:rPr>
              <w:t xml:space="preserve"> releativno izdvojeno u odnosu na šire gradsko područje Tivta, te posto</w:t>
            </w:r>
            <w:r>
              <w:rPr>
                <w:rFonts w:ascii="Arial" w:hAnsi="Arial" w:cs="Arial"/>
                <w:sz w:val="22"/>
                <w:szCs w:val="22"/>
              </w:rPr>
              <w:t>jeći potisni cjevovod nema kapa</w:t>
            </w:r>
            <w:r w:rsidRPr="00533BBA">
              <w:rPr>
                <w:rFonts w:ascii="Arial" w:hAnsi="Arial" w:cs="Arial"/>
                <w:sz w:val="22"/>
                <w:szCs w:val="22"/>
              </w:rPr>
              <w:t>c</w:t>
            </w:r>
            <w:r>
              <w:rPr>
                <w:rFonts w:ascii="Arial" w:hAnsi="Arial" w:cs="Arial"/>
                <w:sz w:val="22"/>
                <w:szCs w:val="22"/>
              </w:rPr>
              <w:t>i</w:t>
            </w:r>
            <w:r w:rsidRPr="00533BBA">
              <w:rPr>
                <w:rFonts w:ascii="Arial" w:hAnsi="Arial" w:cs="Arial"/>
                <w:sz w:val="22"/>
                <w:szCs w:val="22"/>
              </w:rPr>
              <w:t>teta da otpadne vode transportuje na izgrađeno PPOV za opštine Tivat i Kotor koje se nalazi na lokaciji Klačina u Krtolama. Iz tog razloga za kompletno naselje Lepetane, u čijem je obuhvatu i UP Turistička zona Lepetane, planirana je izgradnja autonomnog kanalizacionog sistema kao i nezavisno PPOV kapaciteta 2100 ES. Prema</w:t>
            </w:r>
            <w:r>
              <w:rPr>
                <w:rFonts w:ascii="Arial" w:hAnsi="Arial" w:cs="Arial"/>
                <w:sz w:val="22"/>
                <w:szCs w:val="22"/>
              </w:rPr>
              <w:t xml:space="preserve"> važećem</w:t>
            </w:r>
            <w:r w:rsidRPr="00533BBA">
              <w:rPr>
                <w:rFonts w:ascii="Arial" w:hAnsi="Arial" w:cs="Arial"/>
                <w:sz w:val="22"/>
                <w:szCs w:val="22"/>
              </w:rPr>
              <w:t xml:space="preserve"> prostornom urbanističkom planu (PUP) Tivat, PPOV za analizirano područje predviđeno je na lokaciji koja se nalazi </w:t>
            </w:r>
            <w:r w:rsidRPr="00533BBA">
              <w:rPr>
                <w:rFonts w:ascii="Arial" w:hAnsi="Arial" w:cs="Arial"/>
                <w:i/>
                <w:sz w:val="22"/>
                <w:szCs w:val="22"/>
              </w:rPr>
              <w:t>u zoni sanitrne zaštite vodoizvorišta</w:t>
            </w:r>
            <w:r w:rsidRPr="00533BBA">
              <w:rPr>
                <w:rFonts w:ascii="Arial" w:hAnsi="Arial" w:cs="Arial"/>
                <w:sz w:val="22"/>
                <w:szCs w:val="22"/>
              </w:rPr>
              <w:t xml:space="preserve">  </w:t>
            </w:r>
            <w:r w:rsidRPr="00533BBA">
              <w:rPr>
                <w:rFonts w:ascii="Arial" w:hAnsi="Arial" w:cs="Arial"/>
                <w:i/>
                <w:sz w:val="22"/>
                <w:szCs w:val="22"/>
              </w:rPr>
              <w:t>Plavda.</w:t>
            </w:r>
            <w:r w:rsidRPr="00533BBA">
              <w:rPr>
                <w:rFonts w:ascii="Arial" w:hAnsi="Arial" w:cs="Arial"/>
                <w:sz w:val="22"/>
                <w:szCs w:val="22"/>
              </w:rPr>
              <w:t xml:space="preserve"> </w:t>
            </w:r>
          </w:p>
          <w:p w:rsidR="008C6F08" w:rsidRPr="008C6F08" w:rsidRDefault="008C6F08" w:rsidP="008C6F08">
            <w:pPr>
              <w:pStyle w:val="ListBullet2"/>
              <w:suppressAutoHyphens w:val="0"/>
              <w:ind w:left="340" w:hanging="340"/>
              <w:rPr>
                <w:rFonts w:ascii="Arial" w:hAnsi="Arial" w:cs="Arial"/>
                <w:sz w:val="22"/>
                <w:szCs w:val="22"/>
              </w:rPr>
            </w:pPr>
            <w:r w:rsidRPr="008C6F08">
              <w:rPr>
                <w:rFonts w:ascii="Arial" w:hAnsi="Arial" w:cs="Arial"/>
                <w:sz w:val="22"/>
                <w:szCs w:val="22"/>
              </w:rPr>
              <w:t>Projektovanje cjevovoda treba da je takvo da se obezbjedi maksimalna mogućnost gravitacionog</w:t>
            </w:r>
          </w:p>
          <w:p w:rsidR="008C6F08" w:rsidRPr="008C6F08" w:rsidRDefault="008C6F08" w:rsidP="008C6F08">
            <w:pPr>
              <w:pStyle w:val="ListBullet2"/>
              <w:suppressAutoHyphens w:val="0"/>
              <w:ind w:left="340" w:hanging="340"/>
              <w:rPr>
                <w:rFonts w:ascii="Arial" w:hAnsi="Arial" w:cs="Arial"/>
                <w:sz w:val="22"/>
                <w:szCs w:val="22"/>
              </w:rPr>
            </w:pPr>
            <w:r>
              <w:rPr>
                <w:rFonts w:ascii="Arial" w:hAnsi="Arial" w:cs="Arial"/>
                <w:sz w:val="22"/>
                <w:szCs w:val="22"/>
              </w:rPr>
              <w:t>transporta kanalskog sadržaja.</w:t>
            </w:r>
          </w:p>
          <w:p w:rsidR="008C6F08" w:rsidRDefault="008C6F08" w:rsidP="008C6F08">
            <w:pPr>
              <w:pStyle w:val="ListBullet2"/>
              <w:suppressAutoHyphens w:val="0"/>
              <w:ind w:left="340" w:hanging="340"/>
              <w:rPr>
                <w:rFonts w:ascii="Arial" w:hAnsi="Arial" w:cs="Arial"/>
                <w:spacing w:val="-6"/>
                <w:sz w:val="22"/>
                <w:szCs w:val="22"/>
              </w:rPr>
            </w:pPr>
            <w:r w:rsidRPr="008C6F08">
              <w:rPr>
                <w:rFonts w:ascii="Arial" w:hAnsi="Arial" w:cs="Arial"/>
                <w:spacing w:val="-6"/>
                <w:sz w:val="22"/>
                <w:szCs w:val="22"/>
              </w:rPr>
              <w:t>Na mjestima ukrštaja kanalizacionih cjevovoda sa vodovodnim, kanaliza</w:t>
            </w:r>
            <w:r>
              <w:rPr>
                <w:rFonts w:ascii="Arial" w:hAnsi="Arial" w:cs="Arial"/>
                <w:spacing w:val="-6"/>
                <w:sz w:val="22"/>
                <w:szCs w:val="22"/>
              </w:rPr>
              <w:t>cioni se moraju postaviti ispod</w:t>
            </w:r>
          </w:p>
          <w:p w:rsidR="008C6F08" w:rsidRPr="008C6F08" w:rsidRDefault="008C6F08" w:rsidP="008C6F08">
            <w:pPr>
              <w:pStyle w:val="ListBullet2"/>
              <w:suppressAutoHyphens w:val="0"/>
              <w:ind w:left="340" w:hanging="340"/>
              <w:rPr>
                <w:rFonts w:ascii="Arial" w:hAnsi="Arial" w:cs="Arial"/>
                <w:sz w:val="22"/>
                <w:szCs w:val="22"/>
              </w:rPr>
            </w:pPr>
            <w:r w:rsidRPr="008C6F08">
              <w:rPr>
                <w:rFonts w:ascii="Arial" w:hAnsi="Arial" w:cs="Arial"/>
                <w:spacing w:val="-6"/>
                <w:sz w:val="22"/>
                <w:szCs w:val="22"/>
              </w:rPr>
              <w:t>vodovodnih, na odgovarajućem razmaku, uz eventualnu zaštitu vodovodnih cij</w:t>
            </w:r>
            <w:r w:rsidRPr="008C6F08">
              <w:rPr>
                <w:rFonts w:ascii="Arial" w:hAnsi="Arial" w:cs="Arial"/>
                <w:sz w:val="22"/>
                <w:szCs w:val="22"/>
              </w:rPr>
              <w:t>evi;</w:t>
            </w:r>
          </w:p>
          <w:p w:rsidR="008C6F08" w:rsidRDefault="008C6F08" w:rsidP="008C6F08">
            <w:pPr>
              <w:pStyle w:val="ListBullet2"/>
              <w:suppressAutoHyphens w:val="0"/>
              <w:ind w:left="340" w:hanging="340"/>
              <w:rPr>
                <w:rFonts w:ascii="Arial" w:hAnsi="Arial" w:cs="Arial"/>
                <w:spacing w:val="-8"/>
                <w:sz w:val="22"/>
                <w:szCs w:val="22"/>
              </w:rPr>
            </w:pPr>
          </w:p>
          <w:p w:rsidR="008C6F08" w:rsidRDefault="008C6F08" w:rsidP="008C6F08">
            <w:pPr>
              <w:pStyle w:val="ListBullet2"/>
              <w:tabs>
                <w:tab w:val="clear" w:pos="360"/>
                <w:tab w:val="num" w:pos="0"/>
              </w:tabs>
              <w:suppressAutoHyphens w:val="0"/>
              <w:ind w:left="0" w:firstLine="0"/>
              <w:rPr>
                <w:rFonts w:ascii="Arial" w:hAnsi="Arial" w:cs="Arial"/>
                <w:sz w:val="22"/>
                <w:szCs w:val="22"/>
              </w:rPr>
            </w:pPr>
            <w:r w:rsidRPr="008C6F08">
              <w:rPr>
                <w:rFonts w:ascii="Arial" w:hAnsi="Arial" w:cs="Arial"/>
                <w:spacing w:val="-8"/>
                <w:sz w:val="22"/>
                <w:szCs w:val="22"/>
              </w:rPr>
              <w:t>Revizione šahtove postavljati na mjestima priključaka, promjene pravca,</w:t>
            </w:r>
            <w:r>
              <w:rPr>
                <w:rFonts w:ascii="Arial" w:hAnsi="Arial" w:cs="Arial"/>
                <w:spacing w:val="-8"/>
                <w:sz w:val="22"/>
                <w:szCs w:val="22"/>
              </w:rPr>
              <w:t xml:space="preserve"> profila, nagiba i denivelacije </w:t>
            </w:r>
            <w:r w:rsidRPr="008C6F08">
              <w:rPr>
                <w:rFonts w:ascii="Arial" w:hAnsi="Arial" w:cs="Arial"/>
                <w:spacing w:val="-8"/>
                <w:sz w:val="22"/>
                <w:szCs w:val="22"/>
              </w:rPr>
              <w:t>cjevovoda, kao i duž ujednačenih deonica na max rastojanju 160D, ali ne preko 50</w:t>
            </w:r>
            <w:r w:rsidRPr="008C6F08">
              <w:rPr>
                <w:rFonts w:ascii="Arial" w:hAnsi="Arial" w:cs="Arial"/>
                <w:sz w:val="22"/>
                <w:szCs w:val="22"/>
              </w:rPr>
              <w:t xml:space="preserve"> m; </w:t>
            </w:r>
          </w:p>
          <w:p w:rsidR="00E32E56" w:rsidRDefault="00E32E56" w:rsidP="00533BBA">
            <w:pPr>
              <w:jc w:val="both"/>
              <w:rPr>
                <w:rFonts w:ascii="Arial" w:hAnsi="Arial" w:cs="Arial"/>
                <w:sz w:val="22"/>
                <w:szCs w:val="22"/>
              </w:rPr>
            </w:pPr>
          </w:p>
          <w:p w:rsidR="00533BBA" w:rsidRDefault="00533BBA" w:rsidP="00533BBA">
            <w:pPr>
              <w:jc w:val="both"/>
              <w:rPr>
                <w:rFonts w:ascii="Arial" w:hAnsi="Arial" w:cs="Arial"/>
                <w:sz w:val="22"/>
                <w:szCs w:val="22"/>
              </w:rPr>
            </w:pPr>
            <w:r w:rsidRPr="00533BBA">
              <w:rPr>
                <w:rFonts w:ascii="Arial" w:hAnsi="Arial" w:cs="Arial"/>
                <w:sz w:val="22"/>
                <w:szCs w:val="22"/>
              </w:rPr>
              <w:t xml:space="preserve">U sklopu izmjena i dopuna PUP-a Tivat lokacija za izgradnju </w:t>
            </w:r>
            <w:r w:rsidRPr="00533BBA">
              <w:rPr>
                <w:rFonts w:ascii="Arial" w:hAnsi="Arial" w:cs="Arial"/>
                <w:b/>
                <w:sz w:val="22"/>
                <w:szCs w:val="22"/>
              </w:rPr>
              <w:t>PPOV za predmetno područje</w:t>
            </w:r>
            <w:r w:rsidRPr="00533BBA">
              <w:rPr>
                <w:rFonts w:ascii="Arial" w:hAnsi="Arial" w:cs="Arial"/>
                <w:sz w:val="22"/>
                <w:szCs w:val="22"/>
              </w:rPr>
              <w:t xml:space="preserve"> </w:t>
            </w:r>
            <w:r w:rsidR="00E32E56">
              <w:rPr>
                <w:rFonts w:ascii="Arial" w:hAnsi="Arial" w:cs="Arial"/>
                <w:sz w:val="22"/>
                <w:szCs w:val="22"/>
              </w:rPr>
              <w:t>će se planirati</w:t>
            </w:r>
            <w:r w:rsidRPr="00533BBA">
              <w:rPr>
                <w:rFonts w:ascii="Arial" w:hAnsi="Arial" w:cs="Arial"/>
                <w:sz w:val="22"/>
                <w:szCs w:val="22"/>
              </w:rPr>
              <w:t xml:space="preserve"> </w:t>
            </w:r>
            <w:r w:rsidR="00E32E56">
              <w:rPr>
                <w:rFonts w:ascii="Arial" w:hAnsi="Arial" w:cs="Arial"/>
                <w:b/>
                <w:sz w:val="22"/>
                <w:szCs w:val="22"/>
              </w:rPr>
              <w:t>u obuhva</w:t>
            </w:r>
            <w:r>
              <w:rPr>
                <w:rFonts w:ascii="Arial" w:hAnsi="Arial" w:cs="Arial"/>
                <w:b/>
                <w:sz w:val="22"/>
                <w:szCs w:val="22"/>
              </w:rPr>
              <w:t>tu</w:t>
            </w:r>
            <w:r w:rsidRPr="00533BBA">
              <w:rPr>
                <w:rFonts w:ascii="Arial" w:hAnsi="Arial" w:cs="Arial"/>
                <w:b/>
                <w:sz w:val="22"/>
                <w:szCs w:val="22"/>
              </w:rPr>
              <w:t xml:space="preserve"> UP </w:t>
            </w:r>
            <w:r w:rsidRPr="00533BBA">
              <w:rPr>
                <w:rFonts w:ascii="Arial" w:hAnsi="Arial" w:cs="Arial"/>
                <w:sz w:val="22"/>
                <w:szCs w:val="22"/>
              </w:rPr>
              <w:t>Opatovo</w:t>
            </w:r>
            <w:r w:rsidR="00E32E56">
              <w:rPr>
                <w:rFonts w:ascii="Arial" w:hAnsi="Arial" w:cs="Arial"/>
                <w:sz w:val="22"/>
                <w:szCs w:val="22"/>
              </w:rPr>
              <w:t xml:space="preserve"> </w:t>
            </w:r>
            <w:r w:rsidR="0013616D">
              <w:rPr>
                <w:rFonts w:ascii="Arial" w:hAnsi="Arial" w:cs="Arial"/>
                <w:sz w:val="22"/>
                <w:szCs w:val="22"/>
              </w:rPr>
              <w:t>(kat parc.br.</w:t>
            </w:r>
            <w:r w:rsidR="007C3F51">
              <w:rPr>
                <w:rFonts w:ascii="Arial" w:hAnsi="Arial" w:cs="Arial"/>
                <w:sz w:val="22"/>
                <w:szCs w:val="22"/>
              </w:rPr>
              <w:t>759/1 KO Donja Lastva)</w:t>
            </w:r>
            <w:r w:rsidRPr="00533BBA">
              <w:rPr>
                <w:rFonts w:ascii="Arial" w:hAnsi="Arial" w:cs="Arial"/>
                <w:sz w:val="22"/>
                <w:szCs w:val="22"/>
              </w:rPr>
              <w:t xml:space="preserve"> kako bi se eliminisao </w:t>
            </w:r>
            <w:r w:rsidRPr="00533BBA">
              <w:rPr>
                <w:rFonts w:ascii="Arial" w:hAnsi="Arial" w:cs="Arial"/>
                <w:sz w:val="22"/>
                <w:szCs w:val="22"/>
              </w:rPr>
              <w:lastRenderedPageBreak/>
              <w:t>negativan uticaj na vodoizvorište.</w:t>
            </w:r>
            <w:r>
              <w:rPr>
                <w:rFonts w:ascii="Arial" w:hAnsi="Arial" w:cs="Arial"/>
                <w:sz w:val="22"/>
                <w:szCs w:val="22"/>
              </w:rPr>
              <w:t xml:space="preserve"> Lokacija budućeg PPOV biće prikazana u grafičkim prilozima ali nije predmet u proceduri donošenja odluke o lokalnim objektima od opšteg interesa, već će isto biti tretirano planskim dokumentom gdje će biti definisan kapacitet i uslovi za izgradnju.</w:t>
            </w:r>
            <w:r w:rsidRPr="00533BBA">
              <w:rPr>
                <w:rFonts w:ascii="Arial" w:hAnsi="Arial" w:cs="Arial"/>
                <w:sz w:val="22"/>
                <w:szCs w:val="22"/>
              </w:rPr>
              <w:t xml:space="preserve"> Nakon usvajanja lokacije za autonomno PPOV za naselje Lepetani, kanalizaciona mreža posmatranog područja formira se tako da se omogući odvodnja otpdane vode sa planiranog područja i da se poslje tretmana u PPOV upušta u more najkraćim mogućim putem uzevši u obzir tehno-ekonomsku isplativost kanalizacionog sistema. Predmetni </w:t>
            </w:r>
            <w:r>
              <w:rPr>
                <w:rFonts w:ascii="Arial" w:hAnsi="Arial" w:cs="Arial"/>
                <w:sz w:val="22"/>
                <w:szCs w:val="22"/>
              </w:rPr>
              <w:t xml:space="preserve">planirani </w:t>
            </w:r>
            <w:r w:rsidRPr="00533BBA">
              <w:rPr>
                <w:rFonts w:ascii="Arial" w:hAnsi="Arial" w:cs="Arial"/>
                <w:sz w:val="22"/>
                <w:szCs w:val="22"/>
              </w:rPr>
              <w:t>kanalizacioni sistem se sastoji od dvije nezavisne pumpne stanice.</w:t>
            </w:r>
          </w:p>
          <w:p w:rsidR="0013616D" w:rsidRPr="00533BBA" w:rsidRDefault="0013616D" w:rsidP="00533BBA">
            <w:pPr>
              <w:jc w:val="both"/>
              <w:rPr>
                <w:rFonts w:ascii="Arial" w:hAnsi="Arial" w:cs="Arial"/>
                <w:sz w:val="22"/>
                <w:szCs w:val="22"/>
              </w:rPr>
            </w:pPr>
          </w:p>
          <w:p w:rsidR="00533BBA" w:rsidRPr="00533BBA" w:rsidRDefault="00533BBA" w:rsidP="00533BBA">
            <w:pPr>
              <w:jc w:val="both"/>
              <w:rPr>
                <w:rFonts w:ascii="Arial" w:hAnsi="Arial" w:cs="Arial"/>
                <w:sz w:val="22"/>
                <w:szCs w:val="22"/>
              </w:rPr>
            </w:pPr>
            <w:r w:rsidRPr="00533BBA">
              <w:rPr>
                <w:rFonts w:ascii="Arial" w:hAnsi="Arial" w:cs="Arial"/>
                <w:b/>
                <w:sz w:val="22"/>
                <w:szCs w:val="22"/>
              </w:rPr>
              <w:t xml:space="preserve"> „Pumpna stanica 1“ </w:t>
            </w:r>
            <w:r w:rsidRPr="00533BBA">
              <w:rPr>
                <w:rFonts w:ascii="Arial" w:hAnsi="Arial" w:cs="Arial"/>
                <w:sz w:val="22"/>
                <w:szCs w:val="22"/>
              </w:rPr>
              <w:t xml:space="preserve">je smejštena sjeverno od vodoizvorišta Plavda izvan zone sanitarne zaštite u blizini Mulo Veselina na proširenju pored </w:t>
            </w:r>
            <w:r>
              <w:rPr>
                <w:rFonts w:ascii="Arial" w:hAnsi="Arial" w:cs="Arial"/>
                <w:sz w:val="22"/>
                <w:szCs w:val="22"/>
              </w:rPr>
              <w:t>J</w:t>
            </w:r>
            <w:r w:rsidRPr="00533BBA">
              <w:rPr>
                <w:rFonts w:ascii="Arial" w:hAnsi="Arial" w:cs="Arial"/>
                <w:sz w:val="22"/>
                <w:szCs w:val="22"/>
              </w:rPr>
              <w:t>adranske magistrale</w:t>
            </w:r>
            <w:r>
              <w:rPr>
                <w:rFonts w:ascii="Arial" w:hAnsi="Arial" w:cs="Arial"/>
                <w:sz w:val="22"/>
                <w:szCs w:val="22"/>
              </w:rPr>
              <w:t>(</w:t>
            </w:r>
            <w:r w:rsidRPr="00E32E56">
              <w:rPr>
                <w:rFonts w:ascii="Arial" w:hAnsi="Arial" w:cs="Arial"/>
                <w:sz w:val="22"/>
                <w:szCs w:val="22"/>
              </w:rPr>
              <w:t>kat.parc.br.482 KO Lepetani</w:t>
            </w:r>
            <w:r>
              <w:rPr>
                <w:rFonts w:ascii="Arial" w:hAnsi="Arial" w:cs="Arial"/>
                <w:sz w:val="22"/>
                <w:szCs w:val="22"/>
              </w:rPr>
              <w:t>)</w:t>
            </w:r>
            <w:r w:rsidRPr="00533BBA">
              <w:rPr>
                <w:rFonts w:ascii="Arial" w:hAnsi="Arial" w:cs="Arial"/>
                <w:sz w:val="22"/>
                <w:szCs w:val="22"/>
              </w:rPr>
              <w:t xml:space="preserve"> i prikuplja otpadne vode sa područja „Zone 1“ prema DUP Lepetani koje se nalazi sjeverno od vodoizvorišta Plavda. Glavni gravitacioni cjevovodi koji dovode otpadne vode do „Pumpne stanice 1“ a koji su smješteni duž Jadranske magistrale su nazivnog prečnika </w:t>
            </w:r>
            <w:r w:rsidRPr="00E32E56">
              <w:rPr>
                <w:rFonts w:ascii="Arial" w:hAnsi="Arial" w:cs="Arial"/>
                <w:b/>
                <w:sz w:val="22"/>
                <w:szCs w:val="22"/>
              </w:rPr>
              <w:t>DN315</w:t>
            </w:r>
            <w:r w:rsidRPr="00533BBA">
              <w:rPr>
                <w:rFonts w:ascii="Arial" w:hAnsi="Arial" w:cs="Arial"/>
                <w:sz w:val="22"/>
                <w:szCs w:val="22"/>
              </w:rPr>
              <w:t xml:space="preserve"> i polažu se u padu </w:t>
            </w:r>
            <w:r w:rsidRPr="00E32E56">
              <w:rPr>
                <w:rFonts w:ascii="Arial" w:hAnsi="Arial" w:cs="Arial"/>
                <w:b/>
                <w:sz w:val="22"/>
                <w:szCs w:val="22"/>
              </w:rPr>
              <w:t>0,30%</w:t>
            </w:r>
            <w:r w:rsidRPr="00533BBA">
              <w:rPr>
                <w:rFonts w:ascii="Arial" w:hAnsi="Arial" w:cs="Arial"/>
                <w:sz w:val="22"/>
                <w:szCs w:val="22"/>
              </w:rPr>
              <w:t xml:space="preserve"> što je minimalni dozvoljeni pad za gravitacioni cjevovod DN315.  Od „Pumpne stanice 1“ se putem potisnog cjevovoda </w:t>
            </w:r>
            <w:r w:rsidRPr="00E32E56">
              <w:rPr>
                <w:rFonts w:ascii="Arial" w:hAnsi="Arial" w:cs="Arial"/>
                <w:b/>
                <w:sz w:val="22"/>
                <w:szCs w:val="22"/>
              </w:rPr>
              <w:t xml:space="preserve">PEHD DN160 </w:t>
            </w:r>
            <w:r w:rsidRPr="00533BBA">
              <w:rPr>
                <w:rFonts w:ascii="Arial" w:hAnsi="Arial" w:cs="Arial"/>
                <w:sz w:val="22"/>
                <w:szCs w:val="22"/>
              </w:rPr>
              <w:t xml:space="preserve">dužine cca 1400,00 m otpadne  vode odvode na lokaciju postrojenja za prečišćavanje PPOV. </w:t>
            </w:r>
          </w:p>
          <w:p w:rsidR="00533BBA" w:rsidRPr="00533BBA" w:rsidRDefault="00533BBA" w:rsidP="00533BBA">
            <w:pPr>
              <w:jc w:val="both"/>
              <w:rPr>
                <w:rFonts w:ascii="Arial" w:hAnsi="Arial" w:cs="Arial"/>
                <w:sz w:val="22"/>
                <w:szCs w:val="22"/>
              </w:rPr>
            </w:pPr>
            <w:r w:rsidRPr="0013616D">
              <w:rPr>
                <w:rFonts w:ascii="Arial" w:hAnsi="Arial" w:cs="Arial"/>
                <w:b/>
                <w:sz w:val="22"/>
                <w:szCs w:val="22"/>
              </w:rPr>
              <w:t>„Pumpna stanica 2“</w:t>
            </w:r>
            <w:r w:rsidRPr="00533BBA">
              <w:rPr>
                <w:rFonts w:ascii="Arial" w:hAnsi="Arial" w:cs="Arial"/>
                <w:sz w:val="22"/>
                <w:szCs w:val="22"/>
              </w:rPr>
              <w:t xml:space="preserve"> je </w:t>
            </w:r>
            <w:r w:rsidR="0013616D">
              <w:rPr>
                <w:rFonts w:ascii="Arial" w:hAnsi="Arial" w:cs="Arial"/>
                <w:sz w:val="22"/>
                <w:szCs w:val="22"/>
              </w:rPr>
              <w:t>planirana</w:t>
            </w:r>
            <w:r w:rsidRPr="00533BBA">
              <w:rPr>
                <w:rFonts w:ascii="Arial" w:hAnsi="Arial" w:cs="Arial"/>
                <w:sz w:val="22"/>
                <w:szCs w:val="22"/>
              </w:rPr>
              <w:t xml:space="preserve"> južno od vodoizvorišta Plavda izvan zone sanitane zaštite </w:t>
            </w:r>
            <w:r w:rsidR="0013616D">
              <w:rPr>
                <w:rFonts w:ascii="Arial" w:hAnsi="Arial" w:cs="Arial"/>
                <w:sz w:val="22"/>
                <w:szCs w:val="22"/>
              </w:rPr>
              <w:t xml:space="preserve">kat.parc.br.408 ko Lepetani). </w:t>
            </w:r>
            <w:r w:rsidRPr="00533BBA">
              <w:rPr>
                <w:rFonts w:ascii="Arial" w:hAnsi="Arial" w:cs="Arial"/>
                <w:sz w:val="22"/>
                <w:szCs w:val="22"/>
              </w:rPr>
              <w:t>Prema ovoj pumpnoj stanici gravitiraju otpadne vode sa područja „Zone 2“. Glavni gravitacioni cjevovod koji prikuplja vode i dovodi do „Pumpn</w:t>
            </w:r>
            <w:r w:rsidR="007C3F51">
              <w:rPr>
                <w:rFonts w:ascii="Arial" w:hAnsi="Arial" w:cs="Arial"/>
                <w:sz w:val="22"/>
                <w:szCs w:val="22"/>
              </w:rPr>
              <w:t xml:space="preserve">e stanice 2“ i koji se nalazi </w:t>
            </w:r>
            <w:r w:rsidRPr="00533BBA">
              <w:rPr>
                <w:rFonts w:ascii="Arial" w:hAnsi="Arial" w:cs="Arial"/>
                <w:sz w:val="22"/>
                <w:szCs w:val="22"/>
              </w:rPr>
              <w:t xml:space="preserve">duž Jadranske magistrale (šetališta Lungomare) je nazivnog prečnika </w:t>
            </w:r>
            <w:r w:rsidRPr="00E32E56">
              <w:rPr>
                <w:rFonts w:ascii="Arial" w:hAnsi="Arial" w:cs="Arial"/>
                <w:b/>
                <w:sz w:val="22"/>
                <w:szCs w:val="22"/>
              </w:rPr>
              <w:t xml:space="preserve">DN315 </w:t>
            </w:r>
            <w:r w:rsidRPr="00533BBA">
              <w:rPr>
                <w:rFonts w:ascii="Arial" w:hAnsi="Arial" w:cs="Arial"/>
                <w:sz w:val="22"/>
                <w:szCs w:val="22"/>
              </w:rPr>
              <w:t xml:space="preserve">i planiranog pada </w:t>
            </w:r>
            <w:r w:rsidRPr="00E32E56">
              <w:rPr>
                <w:rFonts w:ascii="Arial" w:hAnsi="Arial" w:cs="Arial"/>
                <w:b/>
                <w:sz w:val="22"/>
                <w:szCs w:val="22"/>
              </w:rPr>
              <w:t>0,30%.</w:t>
            </w:r>
            <w:r w:rsidRPr="00533BBA">
              <w:rPr>
                <w:rFonts w:ascii="Arial" w:hAnsi="Arial" w:cs="Arial"/>
                <w:sz w:val="22"/>
                <w:szCs w:val="22"/>
              </w:rPr>
              <w:t xml:space="preserve"> Od „Pumpne stanice 2„ se putem potisnog cjevovoda </w:t>
            </w:r>
            <w:r w:rsidRPr="00E32E56">
              <w:rPr>
                <w:rFonts w:ascii="Arial" w:hAnsi="Arial" w:cs="Arial"/>
                <w:b/>
                <w:sz w:val="22"/>
                <w:szCs w:val="22"/>
              </w:rPr>
              <w:t>PEHD DN 160</w:t>
            </w:r>
            <w:r w:rsidRPr="00533BBA">
              <w:rPr>
                <w:rFonts w:ascii="Arial" w:hAnsi="Arial" w:cs="Arial"/>
                <w:sz w:val="22"/>
                <w:szCs w:val="22"/>
              </w:rPr>
              <w:t xml:space="preserve"> paralelno sa planiranim potisnim cjevovod od „Pumpne stanice 1“ otpadne vode dovode na lokaciju budućeg PPOV. Dužina planiranog potisnog cjevovoda je cca 250,00 m. </w:t>
            </w:r>
          </w:p>
          <w:p w:rsidR="007C3F51" w:rsidRDefault="007C3F51" w:rsidP="00533BBA">
            <w:pPr>
              <w:jc w:val="both"/>
              <w:rPr>
                <w:rFonts w:ascii="Arial" w:hAnsi="Arial" w:cs="Arial"/>
                <w:sz w:val="22"/>
                <w:szCs w:val="22"/>
              </w:rPr>
            </w:pPr>
          </w:p>
          <w:p w:rsidR="00533BBA" w:rsidRPr="00533BBA" w:rsidRDefault="00533BBA" w:rsidP="00533BBA">
            <w:pPr>
              <w:jc w:val="both"/>
              <w:rPr>
                <w:rFonts w:ascii="Arial" w:hAnsi="Arial" w:cs="Arial"/>
                <w:sz w:val="22"/>
                <w:szCs w:val="22"/>
              </w:rPr>
            </w:pPr>
            <w:r w:rsidRPr="00533BBA">
              <w:rPr>
                <w:rFonts w:ascii="Arial" w:hAnsi="Arial" w:cs="Arial"/>
                <w:sz w:val="22"/>
                <w:szCs w:val="22"/>
              </w:rPr>
              <w:t xml:space="preserve">Sa područja koje nije obuhvaćeno gravitacionom kanalizacionom mrežom, to jest od objekta PS Plavda potrebno je razviti lokalni potisni cjevovod od PS Plavda prema trajektu </w:t>
            </w:r>
            <w:r w:rsidRPr="00E32E56">
              <w:rPr>
                <w:rFonts w:ascii="Arial" w:hAnsi="Arial" w:cs="Arial"/>
                <w:b/>
                <w:sz w:val="22"/>
                <w:szCs w:val="22"/>
              </w:rPr>
              <w:t>PEHD DN 110</w:t>
            </w:r>
            <w:r w:rsidRPr="00533BBA">
              <w:rPr>
                <w:rFonts w:ascii="Arial" w:hAnsi="Arial" w:cs="Arial"/>
                <w:sz w:val="22"/>
                <w:szCs w:val="22"/>
              </w:rPr>
              <w:t xml:space="preserve"> cca 370,00m, i priključiti na gravitacioni cjevovod koji odvodi otpadne vode do „Pumpne stanice 1“</w:t>
            </w:r>
          </w:p>
          <w:p w:rsidR="00533BBA" w:rsidRPr="00533BBA" w:rsidRDefault="00533BBA" w:rsidP="00533BBA">
            <w:pPr>
              <w:jc w:val="both"/>
              <w:rPr>
                <w:rFonts w:ascii="Arial" w:hAnsi="Arial" w:cs="Arial"/>
                <w:sz w:val="22"/>
                <w:szCs w:val="22"/>
              </w:rPr>
            </w:pPr>
            <w:r w:rsidRPr="00533BBA">
              <w:rPr>
                <w:rFonts w:ascii="Arial" w:hAnsi="Arial" w:cs="Arial"/>
                <w:sz w:val="22"/>
                <w:szCs w:val="22"/>
              </w:rPr>
              <w:t xml:space="preserve">Naselje smješteno duž Jadranske magistrale južno od UP Opatovo je planirano da preko cjevovoda fekalne kanalizacije </w:t>
            </w:r>
            <w:r w:rsidRPr="00E32E56">
              <w:rPr>
                <w:rFonts w:ascii="Arial" w:hAnsi="Arial" w:cs="Arial"/>
                <w:b/>
                <w:sz w:val="22"/>
                <w:szCs w:val="22"/>
              </w:rPr>
              <w:t>PVC DN400</w:t>
            </w:r>
            <w:r w:rsidRPr="00533BBA">
              <w:rPr>
                <w:rFonts w:ascii="Arial" w:hAnsi="Arial" w:cs="Arial"/>
                <w:sz w:val="22"/>
                <w:szCs w:val="22"/>
              </w:rPr>
              <w:t xml:space="preserve">  bude opremljeno sistemom za prikupljanje otpadnih voda. Preko cjevovoda </w:t>
            </w:r>
            <w:r w:rsidRPr="00E32E56">
              <w:rPr>
                <w:rFonts w:ascii="Arial" w:hAnsi="Arial" w:cs="Arial"/>
                <w:b/>
                <w:sz w:val="22"/>
                <w:szCs w:val="22"/>
              </w:rPr>
              <w:t>DN 400</w:t>
            </w:r>
            <w:r w:rsidRPr="00533BBA">
              <w:rPr>
                <w:rFonts w:ascii="Arial" w:hAnsi="Arial" w:cs="Arial"/>
                <w:sz w:val="22"/>
                <w:szCs w:val="22"/>
              </w:rPr>
              <w:t xml:space="preserve"> otpadne vode se sa predmetnog područja odvode na buduće postorjenje za prečišćavanje otpadnih voda PPOV.  </w:t>
            </w:r>
          </w:p>
          <w:p w:rsidR="00E32E56" w:rsidRDefault="00E32E56" w:rsidP="00E32E56">
            <w:pPr>
              <w:jc w:val="both"/>
              <w:rPr>
                <w:rFonts w:ascii="Arial" w:hAnsi="Arial" w:cs="Arial"/>
                <w:b/>
                <w:sz w:val="22"/>
                <w:szCs w:val="22"/>
              </w:rPr>
            </w:pPr>
          </w:p>
          <w:p w:rsidR="00E32E56" w:rsidRPr="008C6F08" w:rsidRDefault="00E32E56" w:rsidP="008C6F08">
            <w:pPr>
              <w:jc w:val="both"/>
              <w:rPr>
                <w:rFonts w:ascii="Arial" w:hAnsi="Arial" w:cs="Arial"/>
                <w:b/>
                <w:sz w:val="22"/>
                <w:szCs w:val="22"/>
              </w:rPr>
            </w:pPr>
            <w:r w:rsidRPr="00F06BE7">
              <w:rPr>
                <w:rFonts w:ascii="Arial" w:hAnsi="Arial" w:cs="Arial"/>
                <w:b/>
                <w:sz w:val="22"/>
                <w:szCs w:val="22"/>
              </w:rPr>
              <w:t xml:space="preserve">Predmet programskog zadatka je trasa </w:t>
            </w:r>
            <w:r>
              <w:rPr>
                <w:rFonts w:ascii="Arial" w:hAnsi="Arial" w:cs="Arial"/>
                <w:b/>
                <w:sz w:val="22"/>
                <w:szCs w:val="22"/>
              </w:rPr>
              <w:t>kanalizacione</w:t>
            </w:r>
            <w:r w:rsidRPr="00F06BE7">
              <w:rPr>
                <w:rFonts w:ascii="Arial" w:hAnsi="Arial" w:cs="Arial"/>
                <w:b/>
                <w:sz w:val="22"/>
                <w:szCs w:val="22"/>
              </w:rPr>
              <w:t xml:space="preserve"> infrastrukture(planiranih cijevi)  u trupu šetališta </w:t>
            </w:r>
            <w:r w:rsidR="008C6F08">
              <w:rPr>
                <w:rFonts w:ascii="Arial" w:hAnsi="Arial" w:cs="Arial"/>
                <w:b/>
                <w:sz w:val="22"/>
                <w:szCs w:val="22"/>
              </w:rPr>
              <w:t xml:space="preserve">, a </w:t>
            </w:r>
            <w:r w:rsidR="00C92D05">
              <w:rPr>
                <w:rFonts w:ascii="Arial" w:hAnsi="Arial" w:cs="Arial"/>
                <w:b/>
                <w:sz w:val="22"/>
                <w:szCs w:val="22"/>
              </w:rPr>
              <w:t>preko</w:t>
            </w:r>
            <w:r w:rsidR="00C92D05" w:rsidRPr="00F06BE7">
              <w:rPr>
                <w:rFonts w:ascii="Arial" w:hAnsi="Arial" w:cs="Arial"/>
                <w:b/>
                <w:sz w:val="22"/>
                <w:szCs w:val="22"/>
              </w:rPr>
              <w:t xml:space="preserve"> kat.parc.br.</w:t>
            </w:r>
            <w:r w:rsidR="00C92D05">
              <w:rPr>
                <w:rFonts w:ascii="Arial" w:hAnsi="Arial" w:cs="Arial"/>
                <w:b/>
                <w:sz w:val="22"/>
                <w:szCs w:val="22"/>
              </w:rPr>
              <w:t xml:space="preserve">482 i </w:t>
            </w:r>
            <w:r w:rsidR="00C92D05" w:rsidRPr="00F06BE7">
              <w:rPr>
                <w:rFonts w:ascii="Arial" w:hAnsi="Arial" w:cs="Arial"/>
                <w:b/>
                <w:sz w:val="22"/>
                <w:szCs w:val="22"/>
              </w:rPr>
              <w:t>472 KO Lepetani i 745 KO Donja Lastva</w:t>
            </w:r>
            <w:r w:rsidR="008C6F08">
              <w:rPr>
                <w:rFonts w:ascii="Arial" w:hAnsi="Arial" w:cs="Arial"/>
                <w:b/>
                <w:sz w:val="22"/>
                <w:szCs w:val="22"/>
              </w:rPr>
              <w:t xml:space="preserve"> </w:t>
            </w:r>
            <w:r w:rsidR="008C6F08" w:rsidRPr="008C6F08">
              <w:rPr>
                <w:rFonts w:ascii="Arial" w:hAnsi="Arial" w:cs="Arial"/>
                <w:b/>
                <w:sz w:val="22"/>
                <w:szCs w:val="22"/>
              </w:rPr>
              <w:t>u skladu sa navedenim uslovima.</w:t>
            </w:r>
            <w:r w:rsidR="00C92D05">
              <w:rPr>
                <w:rFonts w:ascii="Arial" w:hAnsi="Arial" w:cs="Arial"/>
                <w:b/>
                <w:sz w:val="22"/>
                <w:szCs w:val="22"/>
              </w:rPr>
              <w:t xml:space="preserve"> </w:t>
            </w:r>
          </w:p>
          <w:p w:rsidR="009E125C" w:rsidRPr="007F5366" w:rsidRDefault="009E125C" w:rsidP="00642F3C">
            <w:pPr>
              <w:tabs>
                <w:tab w:val="left" w:pos="6915"/>
              </w:tabs>
              <w:jc w:val="both"/>
              <w:rPr>
                <w:rFonts w:ascii="Arial" w:hAnsi="Arial" w:cs="Arial"/>
                <w:b/>
                <w:bCs/>
                <w:sz w:val="22"/>
                <w:szCs w:val="22"/>
              </w:rPr>
            </w:pPr>
          </w:p>
        </w:tc>
      </w:tr>
      <w:tr w:rsidR="002669FD" w:rsidRPr="007F5366" w:rsidTr="00922392">
        <w:trPr>
          <w:trHeight w:val="300"/>
          <w:jc w:val="center"/>
        </w:trPr>
        <w:tc>
          <w:tcPr>
            <w:tcW w:w="1772" w:type="dxa"/>
            <w:noWrap/>
            <w:vAlign w:val="center"/>
            <w:hideMark/>
          </w:tcPr>
          <w:p w:rsidR="002669FD" w:rsidRPr="007F5366" w:rsidRDefault="002669FD" w:rsidP="00946546">
            <w:pPr>
              <w:tabs>
                <w:tab w:val="left" w:pos="6915"/>
              </w:tabs>
              <w:ind w:left="34"/>
              <w:rPr>
                <w:rFonts w:ascii="Arial" w:hAnsi="Arial" w:cs="Arial"/>
                <w:sz w:val="22"/>
                <w:szCs w:val="22"/>
              </w:rPr>
            </w:pPr>
            <w:r w:rsidRPr="007F5366">
              <w:rPr>
                <w:rFonts w:ascii="Arial" w:hAnsi="Arial" w:cs="Arial"/>
                <w:sz w:val="22"/>
                <w:szCs w:val="22"/>
              </w:rPr>
              <w:lastRenderedPageBreak/>
              <w:t>7.</w:t>
            </w:r>
            <w:r w:rsidR="00946546">
              <w:rPr>
                <w:rFonts w:ascii="Arial" w:hAnsi="Arial" w:cs="Arial"/>
                <w:sz w:val="22"/>
                <w:szCs w:val="22"/>
              </w:rPr>
              <w:t>1</w:t>
            </w:r>
            <w:r w:rsidRPr="007F5366">
              <w:rPr>
                <w:rFonts w:ascii="Arial" w:hAnsi="Arial" w:cs="Arial"/>
                <w:sz w:val="22"/>
                <w:szCs w:val="22"/>
              </w:rPr>
              <w:t>.</w:t>
            </w:r>
          </w:p>
        </w:tc>
        <w:tc>
          <w:tcPr>
            <w:tcW w:w="9786" w:type="dxa"/>
            <w:gridSpan w:val="4"/>
            <w:vAlign w:val="center"/>
            <w:hideMark/>
          </w:tcPr>
          <w:p w:rsidR="002669FD" w:rsidRPr="007F5366" w:rsidRDefault="008D5C45" w:rsidP="005053D0">
            <w:pPr>
              <w:tabs>
                <w:tab w:val="left" w:pos="6915"/>
              </w:tabs>
              <w:rPr>
                <w:rFonts w:ascii="Arial" w:hAnsi="Arial" w:cs="Arial"/>
                <w:b/>
                <w:bCs/>
                <w:sz w:val="22"/>
                <w:szCs w:val="22"/>
              </w:rPr>
            </w:pPr>
            <w:r w:rsidRPr="007F5366">
              <w:rPr>
                <w:rFonts w:ascii="Arial" w:hAnsi="Arial" w:cs="Arial"/>
                <w:b/>
                <w:bCs/>
                <w:sz w:val="22"/>
                <w:szCs w:val="22"/>
              </w:rPr>
              <w:t>Pravila parcelacije</w:t>
            </w:r>
          </w:p>
        </w:tc>
      </w:tr>
      <w:tr w:rsidR="002669FD" w:rsidRPr="007F5366" w:rsidTr="00922392">
        <w:trPr>
          <w:trHeight w:val="54"/>
          <w:jc w:val="center"/>
        </w:trPr>
        <w:tc>
          <w:tcPr>
            <w:tcW w:w="1772" w:type="dxa"/>
            <w:noWrap/>
            <w:vAlign w:val="center"/>
            <w:hideMark/>
          </w:tcPr>
          <w:p w:rsidR="002669FD" w:rsidRPr="007F5366" w:rsidRDefault="002669FD" w:rsidP="00A93C74">
            <w:pPr>
              <w:pStyle w:val="ListParagraph"/>
              <w:tabs>
                <w:tab w:val="left" w:pos="6915"/>
              </w:tabs>
              <w:rPr>
                <w:rFonts w:ascii="Arial" w:hAnsi="Arial" w:cs="Arial"/>
                <w:sz w:val="22"/>
                <w:szCs w:val="22"/>
              </w:rPr>
            </w:pPr>
          </w:p>
        </w:tc>
        <w:tc>
          <w:tcPr>
            <w:tcW w:w="9786" w:type="dxa"/>
            <w:gridSpan w:val="4"/>
            <w:noWrap/>
          </w:tcPr>
          <w:p w:rsidR="003F3A4A" w:rsidRPr="007F5366" w:rsidRDefault="003F3A4A" w:rsidP="003F3A4A">
            <w:pPr>
              <w:pStyle w:val="BodyText"/>
              <w:jc w:val="both"/>
              <w:rPr>
                <w:rFonts w:ascii="Arial" w:hAnsi="Arial" w:cs="Arial"/>
                <w:sz w:val="22"/>
                <w:szCs w:val="22"/>
              </w:rPr>
            </w:pPr>
          </w:p>
          <w:p w:rsidR="00D16217" w:rsidRDefault="008F2173" w:rsidP="008C6F08">
            <w:pPr>
              <w:spacing w:line="20" w:lineRule="atLeast"/>
              <w:jc w:val="both"/>
              <w:rPr>
                <w:rFonts w:ascii="Arial" w:eastAsia="Times New Roman" w:hAnsi="Arial" w:cs="Arial"/>
                <w:b/>
                <w:sz w:val="22"/>
                <w:szCs w:val="22"/>
                <w:lang w:val="hr-HR" w:eastAsia="hr-HR"/>
              </w:rPr>
            </w:pPr>
            <w:r w:rsidRPr="00A73BF7">
              <w:rPr>
                <w:rFonts w:ascii="Arial" w:eastAsia="Times New Roman" w:hAnsi="Arial" w:cs="Arial"/>
                <w:b/>
                <w:sz w:val="22"/>
                <w:szCs w:val="22"/>
                <w:lang w:val="hr-HR" w:eastAsia="hr-HR"/>
              </w:rPr>
              <w:t xml:space="preserve">Do podnošenja zahtjeva za </w:t>
            </w:r>
            <w:r w:rsidR="002C41D0" w:rsidRPr="002C41D0">
              <w:rPr>
                <w:rFonts w:ascii="Arial" w:eastAsia="Times New Roman" w:hAnsi="Arial" w:cs="Arial"/>
                <w:b/>
                <w:sz w:val="22"/>
                <w:szCs w:val="22"/>
                <w:lang w:val="hr-HR" w:eastAsia="hr-HR"/>
              </w:rPr>
              <w:t xml:space="preserve">odobrenja za građenje lokalnog objekta od opšteg interesa, kao i za građenje tog objekta </w:t>
            </w:r>
            <w:r w:rsidR="002C41D0">
              <w:rPr>
                <w:rFonts w:ascii="Arial" w:eastAsia="Times New Roman" w:hAnsi="Arial" w:cs="Arial"/>
                <w:b/>
                <w:sz w:val="22"/>
                <w:szCs w:val="22"/>
                <w:lang w:val="hr-HR" w:eastAsia="hr-HR"/>
              </w:rPr>
              <w:t>potrebno je</w:t>
            </w:r>
            <w:r w:rsidRPr="00A73BF7">
              <w:rPr>
                <w:rFonts w:ascii="Arial" w:eastAsia="Times New Roman" w:hAnsi="Arial" w:cs="Arial"/>
                <w:b/>
                <w:sz w:val="22"/>
                <w:szCs w:val="22"/>
                <w:lang w:val="hr-HR" w:eastAsia="hr-HR"/>
              </w:rPr>
              <w:t xml:space="preserve"> riješiti imovinsko-pravne odnose. Glavni projekat potrebno je izraditi na ažurnoj geodetskoj podlozi. </w:t>
            </w:r>
          </w:p>
          <w:p w:rsidR="008C6F08" w:rsidRPr="007F5366" w:rsidRDefault="008C6F08" w:rsidP="008C6F08">
            <w:pPr>
              <w:spacing w:line="20" w:lineRule="atLeast"/>
              <w:jc w:val="both"/>
              <w:rPr>
                <w:rFonts w:ascii="Arial" w:hAnsi="Arial" w:cs="Arial"/>
                <w:sz w:val="22"/>
                <w:szCs w:val="22"/>
              </w:rPr>
            </w:pPr>
          </w:p>
        </w:tc>
      </w:tr>
      <w:tr w:rsidR="002D239E" w:rsidRPr="007F5366" w:rsidTr="00922392">
        <w:trPr>
          <w:trHeight w:val="283"/>
          <w:jc w:val="center"/>
        </w:trPr>
        <w:tc>
          <w:tcPr>
            <w:tcW w:w="11558" w:type="dxa"/>
            <w:gridSpan w:val="5"/>
            <w:noWrap/>
            <w:vAlign w:val="center"/>
          </w:tcPr>
          <w:p w:rsidR="00864B33" w:rsidRPr="007F5366" w:rsidRDefault="00864B33" w:rsidP="00BF2A54">
            <w:pPr>
              <w:tabs>
                <w:tab w:val="left" w:pos="6915"/>
              </w:tabs>
              <w:rPr>
                <w:rFonts w:ascii="Arial" w:hAnsi="Arial" w:cs="Arial"/>
                <w:sz w:val="22"/>
                <w:szCs w:val="22"/>
              </w:rPr>
            </w:pPr>
          </w:p>
        </w:tc>
      </w:tr>
      <w:tr w:rsidR="00DD7E0D" w:rsidRPr="007F5366" w:rsidTr="00922392">
        <w:trPr>
          <w:trHeight w:val="645"/>
          <w:jc w:val="center"/>
        </w:trPr>
        <w:tc>
          <w:tcPr>
            <w:tcW w:w="1772" w:type="dxa"/>
            <w:noWrap/>
            <w:vAlign w:val="center"/>
            <w:hideMark/>
          </w:tcPr>
          <w:p w:rsidR="00727CDC" w:rsidRPr="007F5366" w:rsidRDefault="00727CDC" w:rsidP="00F5152B">
            <w:pPr>
              <w:pStyle w:val="ListParagraph"/>
              <w:numPr>
                <w:ilvl w:val="0"/>
                <w:numId w:val="1"/>
              </w:numPr>
              <w:tabs>
                <w:tab w:val="left" w:pos="6915"/>
              </w:tabs>
              <w:rPr>
                <w:rFonts w:ascii="Arial" w:hAnsi="Arial" w:cs="Arial"/>
                <w:sz w:val="22"/>
                <w:szCs w:val="22"/>
              </w:rPr>
            </w:pPr>
            <w:r w:rsidRPr="007F5366">
              <w:rPr>
                <w:rFonts w:ascii="Arial" w:hAnsi="Arial" w:cs="Arial"/>
                <w:sz w:val="22"/>
                <w:szCs w:val="22"/>
              </w:rPr>
              <w:t>.</w:t>
            </w:r>
          </w:p>
        </w:tc>
        <w:tc>
          <w:tcPr>
            <w:tcW w:w="9786" w:type="dxa"/>
            <w:gridSpan w:val="4"/>
            <w:vAlign w:val="center"/>
            <w:hideMark/>
          </w:tcPr>
          <w:p w:rsidR="00727CDC" w:rsidRPr="007F5366" w:rsidRDefault="00727CDC" w:rsidP="005053D0">
            <w:pPr>
              <w:tabs>
                <w:tab w:val="left" w:pos="6915"/>
              </w:tabs>
              <w:rPr>
                <w:rFonts w:ascii="Arial" w:hAnsi="Arial" w:cs="Arial"/>
                <w:b/>
                <w:bCs/>
                <w:sz w:val="22"/>
                <w:szCs w:val="22"/>
              </w:rPr>
            </w:pPr>
            <w:r w:rsidRPr="007F5366">
              <w:rPr>
                <w:rFonts w:ascii="Arial" w:hAnsi="Arial" w:cs="Arial"/>
                <w:b/>
                <w:bCs/>
                <w:sz w:val="22"/>
                <w:szCs w:val="22"/>
              </w:rPr>
              <w:t>PREPORUKE ZA SMANJENJE UTICAJA I ZAŠTITU OD ZEMLJOTRESA, KAO I DRUGE USLOVE ZA ZAŠTITU OD ELEMENTARNIH NEPOGODA I TEHNIČKO-TEHNOLOŠKIH I DRUGIH NESREĆA</w:t>
            </w:r>
          </w:p>
        </w:tc>
      </w:tr>
      <w:tr w:rsidR="00F04485" w:rsidRPr="007F5366" w:rsidTr="00922392">
        <w:trPr>
          <w:trHeight w:val="810"/>
          <w:jc w:val="center"/>
        </w:trPr>
        <w:tc>
          <w:tcPr>
            <w:tcW w:w="1772" w:type="dxa"/>
            <w:noWrap/>
            <w:vAlign w:val="center"/>
            <w:hideMark/>
          </w:tcPr>
          <w:p w:rsidR="00727CDC" w:rsidRPr="007F5366" w:rsidRDefault="00727CDC" w:rsidP="0013624A">
            <w:pPr>
              <w:pStyle w:val="ListParagraph"/>
              <w:tabs>
                <w:tab w:val="left" w:pos="6915"/>
              </w:tabs>
              <w:rPr>
                <w:rFonts w:ascii="Arial" w:hAnsi="Arial" w:cs="Arial"/>
                <w:sz w:val="22"/>
                <w:szCs w:val="22"/>
              </w:rPr>
            </w:pPr>
          </w:p>
        </w:tc>
        <w:tc>
          <w:tcPr>
            <w:tcW w:w="9786" w:type="dxa"/>
            <w:gridSpan w:val="4"/>
            <w:noWrap/>
          </w:tcPr>
          <w:p w:rsidR="007F5054" w:rsidRPr="008F2173" w:rsidRDefault="007F5054" w:rsidP="00571F9B">
            <w:pPr>
              <w:jc w:val="both"/>
              <w:rPr>
                <w:rFonts w:ascii="Arial" w:hAnsi="Arial" w:cs="Arial"/>
                <w:b/>
                <w:bCs/>
                <w:i/>
                <w:sz w:val="22"/>
                <w:szCs w:val="22"/>
                <w:lang w:val="sr-Latn-CS"/>
              </w:rPr>
            </w:pPr>
          </w:p>
          <w:p w:rsidR="00E73943" w:rsidRPr="008F2173" w:rsidRDefault="00E73943" w:rsidP="00E73943">
            <w:pPr>
              <w:jc w:val="both"/>
              <w:outlineLvl w:val="4"/>
              <w:rPr>
                <w:rFonts w:ascii="Arial" w:eastAsia="Times New Roman" w:hAnsi="Arial" w:cs="Arial"/>
                <w:b/>
                <w:bCs/>
                <w:sz w:val="22"/>
                <w:szCs w:val="22"/>
                <w:lang w:val="sr-Latn-CS"/>
              </w:rPr>
            </w:pPr>
            <w:r w:rsidRPr="008F2173">
              <w:rPr>
                <w:rFonts w:ascii="Arial" w:eastAsia="Times New Roman" w:hAnsi="Arial" w:cs="Arial"/>
                <w:b/>
                <w:bCs/>
                <w:sz w:val="22"/>
                <w:szCs w:val="22"/>
                <w:lang w:val="sr-Latn-CS"/>
              </w:rPr>
              <w:t>Mjere zaštite od elementarnih i tehničko-tehnoloških nepogoda</w:t>
            </w:r>
          </w:p>
          <w:p w:rsidR="00E73943" w:rsidRPr="008F2173" w:rsidRDefault="00E73943" w:rsidP="00E73943">
            <w:pPr>
              <w:jc w:val="both"/>
              <w:rPr>
                <w:rFonts w:ascii="Arial" w:eastAsia="Times New Roman" w:hAnsi="Arial" w:cs="Arial"/>
                <w:bCs/>
                <w:sz w:val="22"/>
                <w:szCs w:val="22"/>
                <w:lang w:val="sl-SI" w:eastAsia="sl-SI"/>
              </w:rPr>
            </w:pPr>
            <w:r w:rsidRPr="008F2173">
              <w:rPr>
                <w:rFonts w:ascii="Arial" w:eastAsia="Times New Roman" w:hAnsi="Arial" w:cs="Arial"/>
                <w:bCs/>
                <w:sz w:val="22"/>
                <w:szCs w:val="22"/>
                <w:lang w:val="sl-SI" w:eastAsia="sl-SI"/>
              </w:rPr>
              <w:t>U cilju zaštite od elementarnih nepogoda postupiti u skladu sa Zakonom o zaštiti od elementarnih nepogoda (Sl. List RCG br. 57/1992) i Pravilnikom o mjerama zaštite od elementarnih nepogoda (Sl.list RCG br. 8/1993).</w:t>
            </w:r>
          </w:p>
          <w:p w:rsidR="00E73943" w:rsidRPr="008F2173" w:rsidRDefault="00E73943" w:rsidP="00E73943">
            <w:pPr>
              <w:jc w:val="both"/>
              <w:rPr>
                <w:rFonts w:ascii="Arial" w:eastAsia="Times New Roman" w:hAnsi="Arial" w:cs="Arial"/>
                <w:bCs/>
                <w:spacing w:val="-4"/>
                <w:sz w:val="22"/>
                <w:szCs w:val="22"/>
                <w:lang w:val="sl-SI" w:eastAsia="sl-SI"/>
              </w:rPr>
            </w:pPr>
            <w:r w:rsidRPr="008F2173">
              <w:rPr>
                <w:rFonts w:ascii="Arial" w:eastAsia="Times New Roman" w:hAnsi="Arial" w:cs="Arial"/>
                <w:bCs/>
                <w:spacing w:val="-4"/>
                <w:sz w:val="22"/>
                <w:szCs w:val="22"/>
                <w:lang w:val="sl-SI" w:eastAsia="sl-SI"/>
              </w:rPr>
              <w:t xml:space="preserve">Prostor kojeg razmatra ovaj plan s obzirom na svoj prirodno geografski položaj i geofizička svojstva izložen je kataklizmičkim uticajima elementarnih nepogoda. Zaštita prostora od pojava izazvanih potresom, požarom, velikim plimnim valom, bujicama, erozijom, orkanskim vjetrom i drugim nepogodama postiže se uočavanjem i registriranjem tih pojava, te odgovarajućim tehničkim metodama ublažavanjem, odnosno otklanjanjem ,djelimično ili u potpunosti, njenih negativnih posljedica. Adekvatna zaštita prostora zavisna je i o ocjeni podobnosti terena namijenjenog prostornom razvoju grada, a u odnosu na geološki sastav tla i konfiguraciju terena. </w:t>
            </w:r>
          </w:p>
          <w:p w:rsidR="00E73943" w:rsidRDefault="00E73943" w:rsidP="00E73943">
            <w:pPr>
              <w:jc w:val="both"/>
              <w:rPr>
                <w:rFonts w:ascii="Arial" w:eastAsia="Times New Roman" w:hAnsi="Arial" w:cs="Arial"/>
                <w:bCs/>
                <w:spacing w:val="-4"/>
                <w:sz w:val="22"/>
                <w:szCs w:val="22"/>
                <w:lang w:val="sl-SI" w:eastAsia="sl-SI"/>
              </w:rPr>
            </w:pPr>
          </w:p>
          <w:p w:rsidR="00226D34" w:rsidRPr="008F2173" w:rsidRDefault="00226D34" w:rsidP="00E73943">
            <w:pPr>
              <w:jc w:val="both"/>
              <w:rPr>
                <w:rFonts w:ascii="Arial" w:eastAsia="Times New Roman" w:hAnsi="Arial" w:cs="Arial"/>
                <w:bCs/>
                <w:spacing w:val="-4"/>
                <w:sz w:val="22"/>
                <w:szCs w:val="22"/>
                <w:lang w:val="sl-SI" w:eastAsia="sl-SI"/>
              </w:rPr>
            </w:pPr>
          </w:p>
          <w:p w:rsidR="00E73943" w:rsidRPr="008F2173" w:rsidRDefault="00E73943" w:rsidP="00E73943">
            <w:pPr>
              <w:jc w:val="both"/>
              <w:outlineLvl w:val="4"/>
              <w:rPr>
                <w:rFonts w:ascii="Arial" w:eastAsia="Times New Roman" w:hAnsi="Arial" w:cs="Arial"/>
                <w:b/>
                <w:sz w:val="22"/>
                <w:szCs w:val="22"/>
                <w:lang w:val="sr-Latn-CS"/>
              </w:rPr>
            </w:pPr>
            <w:r w:rsidRPr="008F2173">
              <w:rPr>
                <w:rFonts w:ascii="Arial" w:eastAsia="Times New Roman" w:hAnsi="Arial" w:cs="Arial"/>
                <w:b/>
                <w:sz w:val="22"/>
                <w:szCs w:val="22"/>
                <w:lang w:val="sr-Latn-CS"/>
              </w:rPr>
              <w:lastRenderedPageBreak/>
              <w:t>Seizmika – racionalan izbor gradjevnih područja za izgradnju grada</w:t>
            </w:r>
          </w:p>
          <w:p w:rsidR="00E73943" w:rsidRPr="008F2173" w:rsidRDefault="00E73943" w:rsidP="00E73943">
            <w:pPr>
              <w:jc w:val="both"/>
              <w:rPr>
                <w:rFonts w:ascii="Arial" w:eastAsia="Times New Roman" w:hAnsi="Arial" w:cs="Arial"/>
                <w:bCs/>
                <w:sz w:val="22"/>
                <w:szCs w:val="22"/>
                <w:lang w:val="sl-SI" w:eastAsia="sl-SI"/>
              </w:rPr>
            </w:pPr>
            <w:r w:rsidRPr="008F2173">
              <w:rPr>
                <w:rFonts w:ascii="Arial" w:eastAsia="Times New Roman" w:hAnsi="Arial" w:cs="Arial"/>
                <w:bCs/>
                <w:sz w:val="22"/>
                <w:szCs w:val="22"/>
                <w:lang w:val="sl-SI" w:eastAsia="sl-SI"/>
              </w:rPr>
              <w:t xml:space="preserve">Zaštita prostora podrazumijeva, na području određenog planskog zahvata, osiguranje zdravih i sigurnih prostora za izgradnju grada i život njegovih stanovnika. </w:t>
            </w:r>
          </w:p>
          <w:p w:rsidR="00E73943" w:rsidRPr="008F2173" w:rsidRDefault="00E73943" w:rsidP="00E73943">
            <w:pPr>
              <w:jc w:val="both"/>
              <w:rPr>
                <w:rFonts w:ascii="Arial" w:eastAsia="Times New Roman" w:hAnsi="Arial" w:cs="Arial"/>
                <w:bCs/>
                <w:sz w:val="22"/>
                <w:szCs w:val="22"/>
                <w:lang w:val="sl-SI" w:eastAsia="sl-SI"/>
              </w:rPr>
            </w:pPr>
            <w:r w:rsidRPr="008F2173">
              <w:rPr>
                <w:rFonts w:ascii="Arial" w:eastAsia="Times New Roman" w:hAnsi="Arial" w:cs="Arial"/>
                <w:bCs/>
                <w:sz w:val="22"/>
                <w:szCs w:val="22"/>
                <w:lang w:val="sl-SI" w:eastAsia="sl-SI"/>
              </w:rPr>
              <w:t xml:space="preserve">Konkretne mjere zaštite će se sprovesti na osnovu interpretacije studije ’Mikroseizmička rejonizacija’. Koncept prostornog razvoja grada i opštine definisan je na osnovu podobnosti terena za potencijalnu izgradnju, a provedbenim odredbama odredjuju se uslovi i način izgradnje u pojedinim mikro zonama. </w:t>
            </w:r>
          </w:p>
          <w:p w:rsidR="00E73943" w:rsidRPr="008F2173" w:rsidRDefault="00E73943" w:rsidP="00E73943">
            <w:pPr>
              <w:jc w:val="both"/>
              <w:rPr>
                <w:rFonts w:ascii="Arial" w:eastAsia="Times New Roman" w:hAnsi="Arial" w:cs="Arial"/>
                <w:bCs/>
                <w:sz w:val="22"/>
                <w:szCs w:val="22"/>
                <w:lang w:val="sl-SI" w:eastAsia="sl-SI"/>
              </w:rPr>
            </w:pPr>
            <w:r w:rsidRPr="008F2173">
              <w:rPr>
                <w:rFonts w:ascii="Arial" w:eastAsia="Times New Roman" w:hAnsi="Arial" w:cs="Arial"/>
                <w:bCs/>
                <w:sz w:val="22"/>
                <w:szCs w:val="22"/>
                <w:lang w:val="sl-SI" w:eastAsia="sl-SI"/>
              </w:rPr>
              <w:t>Vrednovanje podobnosti za urbanističko planiranje po elementu prirodnih karakteristika preduslov je racionalne izgradnje koji treba tretirati kao dio kompleksa kriterijuma tehničkog, ekonomskog, funkcionalnog i estetsko-oblikovnog karaktera. U područjima sa većim intenzitetom seizmičnosti potrebno je obratiti naročitu pažnju preventivnim zaštitnim mjerama, kako bi se štete od budućih potresa smanjile na prihvatljive granice.</w:t>
            </w:r>
            <w:r w:rsidRPr="008F2173">
              <w:rPr>
                <w:rFonts w:ascii="Arial" w:eastAsia="Times New Roman" w:hAnsi="Arial" w:cs="Arial"/>
                <w:bCs/>
                <w:spacing w:val="-8"/>
                <w:sz w:val="22"/>
                <w:szCs w:val="22"/>
                <w:lang w:val="sl-SI" w:eastAsia="sl-SI"/>
              </w:rPr>
              <w:t xml:space="preserve">. </w:t>
            </w:r>
          </w:p>
          <w:p w:rsidR="00E73943" w:rsidRPr="008F2173" w:rsidRDefault="00E73943" w:rsidP="00E73943">
            <w:pPr>
              <w:jc w:val="both"/>
              <w:rPr>
                <w:rFonts w:ascii="Arial" w:eastAsia="Times New Roman" w:hAnsi="Arial" w:cs="Arial"/>
                <w:bCs/>
                <w:sz w:val="22"/>
                <w:szCs w:val="22"/>
                <w:lang w:val="sl-SI" w:eastAsia="sl-SI"/>
              </w:rPr>
            </w:pPr>
            <w:r w:rsidRPr="008F2173">
              <w:rPr>
                <w:rFonts w:ascii="Arial" w:eastAsia="Times New Roman" w:hAnsi="Arial" w:cs="Arial"/>
                <w:bCs/>
                <w:sz w:val="22"/>
                <w:szCs w:val="22"/>
                <w:lang w:val="sl-SI" w:eastAsia="sl-SI"/>
              </w:rPr>
              <w:t xml:space="preserve">Za potrebe urbanističkog planiranja provedeni su: hidrogeološki, inženjersko-geološki, morfometrijski, geomehanički i seizmološko-istražni radovi. Na osnovu rezultata navedenih istražnih radova provedena je kategorizacija prostora obuhvaćenog ovim planom i to prema slijedećim elementima: nagibi terena, dubina nivoa podzemne vode, sastav i karakteristike tla, stabilnost i nosivost terena, te intenzitet potresa. </w:t>
            </w:r>
          </w:p>
          <w:p w:rsidR="00E73943" w:rsidRPr="008F2173" w:rsidRDefault="00E73943" w:rsidP="00E73943">
            <w:pPr>
              <w:jc w:val="both"/>
              <w:rPr>
                <w:rFonts w:ascii="Arial" w:eastAsia="Times New Roman" w:hAnsi="Arial" w:cs="Arial"/>
                <w:bCs/>
                <w:sz w:val="22"/>
                <w:szCs w:val="22"/>
                <w:lang w:val="sl-SI" w:eastAsia="sl-SI"/>
              </w:rPr>
            </w:pPr>
            <w:r w:rsidRPr="008F2173">
              <w:rPr>
                <w:rFonts w:ascii="Arial" w:eastAsia="Times New Roman" w:hAnsi="Arial" w:cs="Arial"/>
                <w:bCs/>
                <w:sz w:val="22"/>
                <w:szCs w:val="22"/>
                <w:lang w:val="sl-SI" w:eastAsia="sl-SI"/>
              </w:rPr>
              <w:t>Područje opštine Tivat podijeljeno je na četiri kategorije podobnosti prostora za planirani razvoj urbanizacije i izgradnje i to:</w:t>
            </w:r>
          </w:p>
          <w:p w:rsidR="00E73943" w:rsidRPr="008F2173" w:rsidRDefault="00E73943" w:rsidP="00E73943">
            <w:pPr>
              <w:tabs>
                <w:tab w:val="num" w:pos="340"/>
              </w:tabs>
              <w:ind w:left="340" w:hanging="340"/>
              <w:jc w:val="both"/>
              <w:rPr>
                <w:rFonts w:ascii="Arial" w:eastAsia="Times New Roman" w:hAnsi="Arial" w:cs="Arial"/>
                <w:sz w:val="22"/>
                <w:szCs w:val="22"/>
                <w:lang w:val="sl-SI"/>
              </w:rPr>
            </w:pPr>
            <w:r w:rsidRPr="008F2173">
              <w:rPr>
                <w:rFonts w:ascii="Arial" w:eastAsia="Times New Roman" w:hAnsi="Arial" w:cs="Arial"/>
                <w:sz w:val="22"/>
                <w:szCs w:val="22"/>
                <w:lang w:val="sl-SI"/>
              </w:rPr>
              <w:t>I</w:t>
            </w:r>
            <w:r w:rsidRPr="008F2173">
              <w:rPr>
                <w:rFonts w:ascii="Arial" w:eastAsia="Times New Roman" w:hAnsi="Arial" w:cs="Arial"/>
                <w:sz w:val="22"/>
                <w:szCs w:val="22"/>
                <w:lang w:val="sl-SI"/>
              </w:rPr>
              <w:tab/>
              <w:t>Kategorija terena</w:t>
            </w:r>
          </w:p>
          <w:p w:rsidR="00E73943" w:rsidRPr="008F2173" w:rsidRDefault="00E73943" w:rsidP="00E73943">
            <w:pPr>
              <w:ind w:left="360"/>
              <w:rPr>
                <w:rFonts w:ascii="Arial" w:eastAsia="Times New Roman" w:hAnsi="Arial" w:cs="Arial"/>
                <w:sz w:val="22"/>
                <w:szCs w:val="22"/>
                <w:lang w:val="sr-Latn-CS"/>
              </w:rPr>
            </w:pPr>
            <w:r w:rsidRPr="008F2173">
              <w:rPr>
                <w:rFonts w:ascii="Arial" w:eastAsia="Times New Roman" w:hAnsi="Arial" w:cs="Arial"/>
                <w:sz w:val="22"/>
                <w:szCs w:val="22"/>
                <w:lang w:val="sr-Latn-CS"/>
              </w:rPr>
              <w:t>Predstavlja teren bez ograničenja za prostorni razvoj urbanizacije.</w:t>
            </w:r>
          </w:p>
          <w:p w:rsidR="00E73943" w:rsidRPr="008F2173" w:rsidRDefault="00E73943" w:rsidP="00E73943">
            <w:pPr>
              <w:tabs>
                <w:tab w:val="num" w:pos="340"/>
              </w:tabs>
              <w:ind w:left="340" w:hanging="340"/>
              <w:jc w:val="both"/>
              <w:rPr>
                <w:rFonts w:ascii="Arial" w:eastAsia="Times New Roman" w:hAnsi="Arial" w:cs="Arial"/>
                <w:sz w:val="22"/>
                <w:szCs w:val="22"/>
                <w:lang w:val="sl-SI"/>
              </w:rPr>
            </w:pPr>
            <w:r w:rsidRPr="008F2173">
              <w:rPr>
                <w:rFonts w:ascii="Arial" w:eastAsia="Times New Roman" w:hAnsi="Arial" w:cs="Arial"/>
                <w:sz w:val="22"/>
                <w:szCs w:val="22"/>
                <w:lang w:val="sl-SI"/>
              </w:rPr>
              <w:t xml:space="preserve">II </w:t>
            </w:r>
            <w:r w:rsidRPr="008F2173">
              <w:rPr>
                <w:rFonts w:ascii="Arial" w:eastAsia="Times New Roman" w:hAnsi="Arial" w:cs="Arial"/>
                <w:sz w:val="22"/>
                <w:szCs w:val="22"/>
                <w:lang w:val="sl-SI"/>
              </w:rPr>
              <w:tab/>
              <w:t>Kategorija terena</w:t>
            </w:r>
          </w:p>
          <w:p w:rsidR="00E73943" w:rsidRPr="008F2173" w:rsidRDefault="00E73943" w:rsidP="00E73943">
            <w:pPr>
              <w:ind w:left="360"/>
              <w:jc w:val="both"/>
              <w:rPr>
                <w:rFonts w:ascii="Arial" w:eastAsia="Times New Roman" w:hAnsi="Arial" w:cs="Arial"/>
                <w:sz w:val="22"/>
                <w:szCs w:val="22"/>
                <w:lang w:val="sr-Latn-CS"/>
              </w:rPr>
            </w:pPr>
            <w:r w:rsidRPr="008F2173">
              <w:rPr>
                <w:rFonts w:ascii="Arial" w:eastAsia="Times New Roman" w:hAnsi="Arial" w:cs="Arial"/>
                <w:sz w:val="22"/>
                <w:szCs w:val="22"/>
                <w:lang w:val="sr-Latn-CS"/>
              </w:rPr>
              <w:t xml:space="preserve">Ova kategorija terena je dominantna na području Opštine Tivat, a odnosi se na neznatna ograničenja u pogledu mogućeg prostornog razvoja urbanizacije. </w:t>
            </w:r>
          </w:p>
          <w:p w:rsidR="00E73943" w:rsidRPr="008F2173" w:rsidRDefault="00E73943" w:rsidP="00E73943">
            <w:pPr>
              <w:tabs>
                <w:tab w:val="num" w:pos="340"/>
              </w:tabs>
              <w:ind w:left="340" w:hanging="340"/>
              <w:jc w:val="both"/>
              <w:rPr>
                <w:rFonts w:ascii="Arial" w:eastAsia="Times New Roman" w:hAnsi="Arial" w:cs="Arial"/>
                <w:sz w:val="22"/>
                <w:szCs w:val="22"/>
                <w:lang w:val="sl-SI"/>
              </w:rPr>
            </w:pPr>
            <w:r w:rsidRPr="008F2173">
              <w:rPr>
                <w:rFonts w:ascii="Arial" w:eastAsia="Times New Roman" w:hAnsi="Arial" w:cs="Arial"/>
                <w:sz w:val="22"/>
                <w:szCs w:val="22"/>
                <w:lang w:val="sl-SI"/>
              </w:rPr>
              <w:t>III</w:t>
            </w:r>
            <w:r w:rsidRPr="008F2173">
              <w:rPr>
                <w:rFonts w:ascii="Arial" w:eastAsia="Times New Roman" w:hAnsi="Arial" w:cs="Arial"/>
                <w:sz w:val="22"/>
                <w:szCs w:val="22"/>
                <w:lang w:val="sl-SI"/>
              </w:rPr>
              <w:tab/>
              <w:t xml:space="preserve">Kategorija terena </w:t>
            </w:r>
          </w:p>
          <w:p w:rsidR="00E73943" w:rsidRPr="008F2173" w:rsidRDefault="00E73943" w:rsidP="00E73943">
            <w:pPr>
              <w:ind w:left="360"/>
              <w:jc w:val="both"/>
              <w:rPr>
                <w:rFonts w:ascii="Arial" w:eastAsia="Times New Roman" w:hAnsi="Arial" w:cs="Arial"/>
                <w:sz w:val="22"/>
                <w:szCs w:val="22"/>
                <w:lang w:val="sr-Latn-CS"/>
              </w:rPr>
            </w:pPr>
            <w:r w:rsidRPr="008F2173">
              <w:rPr>
                <w:rFonts w:ascii="Arial" w:eastAsia="Times New Roman" w:hAnsi="Arial" w:cs="Arial"/>
                <w:sz w:val="22"/>
                <w:szCs w:val="22"/>
                <w:lang w:val="sr-Latn-CS"/>
              </w:rPr>
              <w:t>Teren treće kategorije obuhvata uglavnom uski priobalni pojas i strmije pribrežne zone na Vrmcu i Krtolima, te povremeno plavljen teren Grbaljskog polja. To su tereni sa znatnim ograničenjem za prostorni razvoj, odnosno izgradnju.</w:t>
            </w:r>
          </w:p>
          <w:p w:rsidR="00E73943" w:rsidRPr="008F2173" w:rsidRDefault="00E73943" w:rsidP="00E73943">
            <w:pPr>
              <w:tabs>
                <w:tab w:val="num" w:pos="340"/>
              </w:tabs>
              <w:ind w:left="340" w:hanging="340"/>
              <w:jc w:val="both"/>
              <w:rPr>
                <w:rFonts w:ascii="Arial" w:eastAsia="Times New Roman" w:hAnsi="Arial" w:cs="Arial"/>
                <w:sz w:val="22"/>
                <w:szCs w:val="22"/>
                <w:lang w:val="sl-SI"/>
              </w:rPr>
            </w:pPr>
            <w:r w:rsidRPr="008F2173">
              <w:rPr>
                <w:rFonts w:ascii="Arial" w:eastAsia="Times New Roman" w:hAnsi="Arial" w:cs="Arial"/>
                <w:sz w:val="22"/>
                <w:szCs w:val="22"/>
                <w:lang w:val="sl-SI"/>
              </w:rPr>
              <w:t>IV</w:t>
            </w:r>
            <w:r w:rsidRPr="008F2173">
              <w:rPr>
                <w:rFonts w:ascii="Arial" w:eastAsia="Times New Roman" w:hAnsi="Arial" w:cs="Arial"/>
                <w:sz w:val="22"/>
                <w:szCs w:val="22"/>
                <w:lang w:val="sl-SI"/>
              </w:rPr>
              <w:tab/>
              <w:t xml:space="preserve">Kategorija terena </w:t>
            </w:r>
          </w:p>
          <w:p w:rsidR="00E73943" w:rsidRPr="008F2173" w:rsidRDefault="00E73943" w:rsidP="00E73943">
            <w:pPr>
              <w:tabs>
                <w:tab w:val="num" w:pos="340"/>
              </w:tabs>
              <w:ind w:left="340" w:hanging="340"/>
              <w:jc w:val="both"/>
              <w:rPr>
                <w:rFonts w:ascii="Arial" w:eastAsia="Times New Roman" w:hAnsi="Arial" w:cs="Arial"/>
                <w:sz w:val="22"/>
                <w:szCs w:val="22"/>
                <w:lang w:val="sl-SI"/>
              </w:rPr>
            </w:pPr>
            <w:r w:rsidRPr="008F2173">
              <w:rPr>
                <w:rFonts w:ascii="Arial" w:eastAsia="Times New Roman" w:hAnsi="Arial" w:cs="Arial"/>
                <w:sz w:val="22"/>
                <w:szCs w:val="22"/>
                <w:lang w:val="sl-SI"/>
              </w:rPr>
              <w:t xml:space="preserve">       Ova kategorizacija terena nepovoljna je za prostorni razvoj i izgradnju. Zastupljeni  naročito na gornjim padinama Vrmca, ali i uz obalu Kalimana i Račice, čine kompaktnu zonu u predjelu Solila, dok su na području Krtola zastupljeni kroz par manjih insula i djelimično uz obalu Trašte.</w:t>
            </w:r>
          </w:p>
          <w:p w:rsidR="00E73943" w:rsidRPr="008F2173" w:rsidRDefault="00E73943" w:rsidP="00E73943">
            <w:pPr>
              <w:jc w:val="both"/>
              <w:rPr>
                <w:rFonts w:ascii="Arial" w:eastAsia="Times New Roman" w:hAnsi="Arial" w:cs="Arial"/>
                <w:bCs/>
                <w:sz w:val="22"/>
                <w:szCs w:val="22"/>
                <w:lang w:val="sl-SI" w:eastAsia="sl-SI"/>
              </w:rPr>
            </w:pPr>
          </w:p>
          <w:p w:rsidR="00E73943" w:rsidRPr="008F2173" w:rsidRDefault="00E73943" w:rsidP="00E73943">
            <w:pPr>
              <w:jc w:val="both"/>
              <w:rPr>
                <w:rFonts w:ascii="Arial" w:eastAsia="Times New Roman" w:hAnsi="Arial" w:cs="Arial"/>
                <w:bCs/>
                <w:sz w:val="22"/>
                <w:szCs w:val="22"/>
                <w:lang w:val="sl-SI" w:eastAsia="sl-SI"/>
              </w:rPr>
            </w:pPr>
            <w:r w:rsidRPr="008F2173">
              <w:rPr>
                <w:rFonts w:ascii="Arial" w:eastAsia="Times New Roman" w:hAnsi="Arial" w:cs="Arial"/>
                <w:bCs/>
                <w:sz w:val="22"/>
                <w:szCs w:val="22"/>
                <w:lang w:val="sl-SI" w:eastAsia="sl-SI"/>
              </w:rPr>
              <w:t xml:space="preserve">Na temelju opisane kategorizacije područja Opštine Tivat po elementu podobnosti terena za prostorni razvoj i izgradnju grada </w:t>
            </w:r>
            <w:r w:rsidRPr="002C41D0">
              <w:rPr>
                <w:rFonts w:ascii="Arial" w:eastAsia="Times New Roman" w:hAnsi="Arial" w:cs="Arial"/>
                <w:bCs/>
                <w:sz w:val="22"/>
                <w:szCs w:val="22"/>
                <w:lang w:val="sl-SI" w:eastAsia="sl-SI"/>
              </w:rPr>
              <w:t>definisana je adekvatna zaštita prostora s kojom</w:t>
            </w:r>
            <w:r w:rsidRPr="008F2173">
              <w:rPr>
                <w:rFonts w:ascii="Arial" w:eastAsia="Times New Roman" w:hAnsi="Arial" w:cs="Arial"/>
                <w:bCs/>
                <w:sz w:val="22"/>
                <w:szCs w:val="22"/>
                <w:lang w:val="sl-SI" w:eastAsia="sl-SI"/>
              </w:rPr>
              <w:t xml:space="preserve"> se kroz prostorni koncept plana osiguravaju budućim stanovnicima zdravi i sigurni uslovi</w:t>
            </w:r>
            <w:r w:rsidRPr="008F2173">
              <w:rPr>
                <w:rFonts w:ascii="Arial" w:eastAsia="Times New Roman" w:hAnsi="Arial" w:cs="Arial"/>
                <w:bCs/>
                <w:color w:val="FF0000"/>
                <w:sz w:val="22"/>
                <w:szCs w:val="22"/>
                <w:lang w:val="sl-SI" w:eastAsia="sl-SI"/>
              </w:rPr>
              <w:t xml:space="preserve"> </w:t>
            </w:r>
            <w:r w:rsidRPr="008F2173">
              <w:rPr>
                <w:rFonts w:ascii="Arial" w:eastAsia="Times New Roman" w:hAnsi="Arial" w:cs="Arial"/>
                <w:bCs/>
                <w:sz w:val="22"/>
                <w:szCs w:val="22"/>
                <w:lang w:val="sl-SI" w:eastAsia="sl-SI"/>
              </w:rPr>
              <w:t>života.</w:t>
            </w:r>
          </w:p>
          <w:p w:rsidR="00E73943" w:rsidRPr="008F2173" w:rsidRDefault="00E73943" w:rsidP="00E73943">
            <w:pPr>
              <w:jc w:val="both"/>
              <w:rPr>
                <w:rFonts w:ascii="Arial" w:eastAsia="Times New Roman" w:hAnsi="Arial" w:cs="Arial"/>
                <w:bCs/>
                <w:sz w:val="22"/>
                <w:szCs w:val="22"/>
                <w:lang w:val="sl-SI" w:eastAsia="sl-SI"/>
              </w:rPr>
            </w:pPr>
            <w:r w:rsidRPr="008F2173">
              <w:rPr>
                <w:rFonts w:ascii="Arial" w:eastAsia="Times New Roman" w:hAnsi="Arial" w:cs="Arial"/>
                <w:bCs/>
                <w:sz w:val="22"/>
                <w:szCs w:val="22"/>
                <w:lang w:val="sl-SI" w:eastAsia="sl-SI"/>
              </w:rPr>
              <w:t>Predviđeno formiranje zona izgradnje potrebno je izvesti sa dovoljnim razmacima i osiguranjem većih zelenih prodora koji se vežu na širu okolinu i pejsaž. Manji gradjevinski ansambli, kazete i blokovi treba da imaju dovoljno velike međurazmake koji će spriječiti širenje nepogode, a kod mogućih urušavanja objekata osigurati normalno funkcionisanje prometa (pristup spasilačkih ekipa i evakuacija stanovništva).</w:t>
            </w:r>
          </w:p>
          <w:p w:rsidR="00E73943" w:rsidRPr="008F2173" w:rsidRDefault="00E73943" w:rsidP="00E73943">
            <w:pPr>
              <w:jc w:val="both"/>
              <w:rPr>
                <w:rFonts w:ascii="Arial" w:eastAsia="Times New Roman" w:hAnsi="Arial" w:cs="Arial"/>
                <w:bCs/>
                <w:spacing w:val="-6"/>
                <w:sz w:val="22"/>
                <w:szCs w:val="22"/>
                <w:lang w:val="sl-SI" w:eastAsia="sl-SI"/>
              </w:rPr>
            </w:pPr>
            <w:r w:rsidRPr="008F2173">
              <w:rPr>
                <w:rFonts w:ascii="Arial" w:eastAsia="Times New Roman" w:hAnsi="Arial" w:cs="Arial"/>
                <w:bCs/>
                <w:spacing w:val="-6"/>
                <w:sz w:val="22"/>
                <w:szCs w:val="22"/>
                <w:lang w:val="sl-SI" w:eastAsia="sl-SI"/>
              </w:rPr>
              <w:t>U skladu s prije iznesenim treba pri projektiranju i dimenzioniranju objekata visoko i niskogradnje primjeniti važeće propise i normative. Udaljenost objekata od saobraćajnica i rješenje deniveliranih saobraćajnica treba da omoguće njihovu prohodnost u specifičnim uslovima.</w:t>
            </w:r>
          </w:p>
          <w:p w:rsidR="00E73943" w:rsidRPr="002C41D0" w:rsidRDefault="00E73943" w:rsidP="00E73943">
            <w:pPr>
              <w:jc w:val="both"/>
              <w:rPr>
                <w:rFonts w:ascii="Arial" w:eastAsia="Times New Roman" w:hAnsi="Arial" w:cs="Arial"/>
                <w:bCs/>
                <w:spacing w:val="-6"/>
                <w:sz w:val="22"/>
                <w:szCs w:val="22"/>
                <w:lang w:val="sl-SI" w:eastAsia="sl-SI"/>
              </w:rPr>
            </w:pPr>
          </w:p>
          <w:p w:rsidR="002E1FCD" w:rsidRPr="00102C34" w:rsidRDefault="002E1FCD" w:rsidP="002E1FCD">
            <w:pPr>
              <w:pStyle w:val="BodyText"/>
              <w:jc w:val="both"/>
              <w:rPr>
                <w:rFonts w:ascii="Arial" w:hAnsi="Arial" w:cs="Arial"/>
                <w:b/>
                <w:bCs/>
                <w:sz w:val="22"/>
                <w:szCs w:val="22"/>
                <w:u w:val="single"/>
              </w:rPr>
            </w:pPr>
            <w:r w:rsidRPr="00102C34">
              <w:rPr>
                <w:rFonts w:ascii="Arial" w:hAnsi="Arial" w:cs="Arial"/>
                <w:b/>
                <w:bCs/>
                <w:sz w:val="22"/>
                <w:szCs w:val="22"/>
                <w:u w:val="single"/>
              </w:rPr>
              <w:t>Preporuke za projektovanje infrastrukturnih sistema:</w:t>
            </w:r>
          </w:p>
          <w:p w:rsidR="002E1FCD" w:rsidRPr="002C41D0" w:rsidRDefault="002E1FCD" w:rsidP="002C41D0">
            <w:pPr>
              <w:pStyle w:val="ListBullet2"/>
              <w:tabs>
                <w:tab w:val="clear" w:pos="360"/>
                <w:tab w:val="num" w:pos="91"/>
                <w:tab w:val="left" w:pos="374"/>
              </w:tabs>
              <w:suppressAutoHyphens w:val="0"/>
              <w:ind w:left="0" w:firstLine="0"/>
              <w:jc w:val="both"/>
              <w:rPr>
                <w:rFonts w:ascii="Arial" w:hAnsi="Arial" w:cs="Arial"/>
                <w:sz w:val="22"/>
                <w:szCs w:val="22"/>
              </w:rPr>
            </w:pPr>
            <w:r w:rsidRPr="002C41D0">
              <w:rPr>
                <w:rFonts w:ascii="Arial" w:hAnsi="Arial" w:cs="Arial"/>
                <w:sz w:val="22"/>
                <w:szCs w:val="22"/>
              </w:rPr>
              <w:t>Pri projektovanju vodova infrastrukture, a naročito glavnih do</w:t>
            </w:r>
            <w:r w:rsidR="002C41D0">
              <w:rPr>
                <w:rFonts w:ascii="Arial" w:hAnsi="Arial" w:cs="Arial"/>
                <w:sz w:val="22"/>
                <w:szCs w:val="22"/>
              </w:rPr>
              <w:t xml:space="preserve">voda potrebno je posebnu pažnju </w:t>
            </w:r>
            <w:r w:rsidRPr="002C41D0">
              <w:rPr>
                <w:rFonts w:ascii="Arial" w:hAnsi="Arial" w:cs="Arial"/>
                <w:sz w:val="22"/>
                <w:szCs w:val="22"/>
              </w:rPr>
              <w:t>posvetiti inženjersko-geološkim i seizmološkim uslovima terena i tla.</w:t>
            </w:r>
          </w:p>
          <w:p w:rsidR="002E1FCD" w:rsidRPr="002C41D0" w:rsidRDefault="002E1FCD" w:rsidP="002C41D0">
            <w:pPr>
              <w:pStyle w:val="ListBullet2"/>
              <w:tabs>
                <w:tab w:val="clear" w:pos="360"/>
                <w:tab w:val="left" w:pos="0"/>
                <w:tab w:val="num" w:pos="91"/>
              </w:tabs>
              <w:suppressAutoHyphens w:val="0"/>
              <w:ind w:left="0" w:firstLine="0"/>
              <w:jc w:val="both"/>
              <w:rPr>
                <w:rFonts w:ascii="Arial" w:hAnsi="Arial" w:cs="Arial"/>
                <w:sz w:val="22"/>
                <w:szCs w:val="22"/>
              </w:rPr>
            </w:pPr>
            <w:r w:rsidRPr="002C41D0">
              <w:rPr>
                <w:rFonts w:ascii="Arial" w:hAnsi="Arial" w:cs="Arial"/>
                <w:sz w:val="22"/>
                <w:szCs w:val="22"/>
              </w:rPr>
              <w:t>Za izradu vodova infrastrukture treba koristiti fleksibilne konstrukcije, koje mogu da slede deformacije tla. Izbjegavati upotrebu krutih materijala (nearmiran beton, azbest-cementne cijevi i sl.) za izradu vodova infrastrukture.</w:t>
            </w:r>
          </w:p>
          <w:p w:rsidR="002E1FCD" w:rsidRPr="002C41D0" w:rsidRDefault="002E1FCD" w:rsidP="002C41D0">
            <w:pPr>
              <w:pStyle w:val="ListBullet2"/>
              <w:tabs>
                <w:tab w:val="clear" w:pos="360"/>
                <w:tab w:val="left" w:pos="0"/>
                <w:tab w:val="num" w:pos="91"/>
              </w:tabs>
              <w:suppressAutoHyphens w:val="0"/>
              <w:ind w:left="0" w:firstLine="0"/>
              <w:jc w:val="both"/>
              <w:rPr>
                <w:rFonts w:ascii="Arial" w:hAnsi="Arial" w:cs="Arial"/>
                <w:sz w:val="22"/>
                <w:szCs w:val="22"/>
              </w:rPr>
            </w:pPr>
            <w:r w:rsidRPr="002C41D0">
              <w:rPr>
                <w:rFonts w:ascii="Arial" w:hAnsi="Arial" w:cs="Arial"/>
                <w:sz w:val="22"/>
                <w:szCs w:val="22"/>
              </w:rPr>
              <w:t>Izbjegavati nasipne, močvarne i nestabilne terene za postavljanje trasa glavnih vodova svih instalacija.</w:t>
            </w:r>
          </w:p>
          <w:p w:rsidR="002E1FCD" w:rsidRPr="002C41D0" w:rsidRDefault="002E1FCD" w:rsidP="002C41D0">
            <w:pPr>
              <w:pStyle w:val="ListBullet2"/>
              <w:tabs>
                <w:tab w:val="clear" w:pos="360"/>
                <w:tab w:val="num" w:pos="91"/>
                <w:tab w:val="left" w:pos="374"/>
              </w:tabs>
              <w:suppressAutoHyphens w:val="0"/>
              <w:ind w:left="340" w:hanging="340"/>
              <w:jc w:val="both"/>
              <w:rPr>
                <w:rFonts w:ascii="Arial" w:hAnsi="Arial" w:cs="Arial"/>
                <w:sz w:val="22"/>
                <w:szCs w:val="22"/>
              </w:rPr>
            </w:pPr>
            <w:r w:rsidRPr="002C41D0">
              <w:rPr>
                <w:rFonts w:ascii="Arial" w:hAnsi="Arial" w:cs="Arial"/>
                <w:sz w:val="22"/>
                <w:szCs w:val="22"/>
              </w:rPr>
              <w:t>Podzemne električne instalacije treba obezbjediti  uredjajima za isključenje pojedinih rejona.</w:t>
            </w:r>
          </w:p>
          <w:p w:rsidR="002E1FCD" w:rsidRPr="002C41D0" w:rsidRDefault="002E1FCD" w:rsidP="002C41D0">
            <w:pPr>
              <w:pStyle w:val="ListBullet2"/>
              <w:tabs>
                <w:tab w:val="clear" w:pos="360"/>
                <w:tab w:val="left" w:pos="0"/>
                <w:tab w:val="num" w:pos="91"/>
              </w:tabs>
              <w:suppressAutoHyphens w:val="0"/>
              <w:ind w:left="0" w:firstLine="0"/>
              <w:jc w:val="both"/>
              <w:rPr>
                <w:rFonts w:ascii="Arial" w:hAnsi="Arial" w:cs="Arial"/>
                <w:sz w:val="22"/>
                <w:szCs w:val="22"/>
              </w:rPr>
            </w:pPr>
            <w:r w:rsidRPr="002C41D0">
              <w:rPr>
                <w:rFonts w:ascii="Arial" w:hAnsi="Arial" w:cs="Arial"/>
                <w:sz w:val="22"/>
                <w:szCs w:val="22"/>
              </w:rPr>
              <w:t>Pri projektovanju saobraćajnica treba prići ne samo sa ekonomsko-saobraćajnog već i sa aspekta planiranja i projektovanja saobraćaja na seizmički aktivnim područjima.</w:t>
            </w:r>
          </w:p>
          <w:p w:rsidR="002E1FCD" w:rsidRPr="002C41D0" w:rsidRDefault="002E1FCD" w:rsidP="002C41D0">
            <w:pPr>
              <w:pStyle w:val="ListBullet2"/>
              <w:tabs>
                <w:tab w:val="clear" w:pos="360"/>
                <w:tab w:val="left" w:pos="91"/>
              </w:tabs>
              <w:suppressAutoHyphens w:val="0"/>
              <w:ind w:left="0" w:firstLine="0"/>
              <w:jc w:val="both"/>
              <w:rPr>
                <w:rFonts w:ascii="Arial" w:hAnsi="Arial" w:cs="Arial"/>
                <w:sz w:val="22"/>
                <w:szCs w:val="22"/>
              </w:rPr>
            </w:pPr>
            <w:r w:rsidRPr="002C41D0">
              <w:rPr>
                <w:rFonts w:ascii="Arial" w:hAnsi="Arial" w:cs="Arial"/>
                <w:sz w:val="22"/>
                <w:szCs w:val="22"/>
              </w:rPr>
              <w:t>U sistemu saobraćajnica poželjno je obezbjediti paralelne veze tako da u slučaju da jedna postane neprohodna, postoji mogućnost da se preko druge obezbjedi nesmetano odvijanje saobraćaja.</w:t>
            </w:r>
          </w:p>
          <w:p w:rsidR="002E1FCD" w:rsidRPr="002C41D0" w:rsidRDefault="002E1FCD" w:rsidP="002C41D0">
            <w:pPr>
              <w:pStyle w:val="ListBullet2"/>
              <w:tabs>
                <w:tab w:val="clear" w:pos="360"/>
                <w:tab w:val="left" w:pos="0"/>
                <w:tab w:val="num" w:pos="91"/>
              </w:tabs>
              <w:suppressAutoHyphens w:val="0"/>
              <w:ind w:left="0" w:firstLine="0"/>
              <w:jc w:val="both"/>
              <w:rPr>
                <w:rFonts w:ascii="Arial" w:hAnsi="Arial" w:cs="Arial"/>
                <w:sz w:val="22"/>
                <w:szCs w:val="22"/>
              </w:rPr>
            </w:pPr>
            <w:r w:rsidRPr="002C41D0">
              <w:rPr>
                <w:rFonts w:ascii="Arial" w:hAnsi="Arial" w:cs="Arial"/>
                <w:sz w:val="22"/>
                <w:szCs w:val="22"/>
              </w:rPr>
              <w:t>Obezbjediti povezivanje područja PUP-a Tivat sa raznim granama soabraćaja što je veoma poželjno radi rasterećenja saobraćaja u post-zemljotresnim kritičnim momentima, kao u slučaju kada je jedna grana saobraćaja u prekidu.</w:t>
            </w:r>
          </w:p>
          <w:p w:rsidR="002E1FCD" w:rsidRPr="008F2173" w:rsidRDefault="002E1FCD" w:rsidP="00E73943">
            <w:pPr>
              <w:jc w:val="both"/>
              <w:rPr>
                <w:rFonts w:ascii="Arial" w:eastAsia="Times New Roman" w:hAnsi="Arial" w:cs="Arial"/>
                <w:bCs/>
                <w:spacing w:val="-6"/>
                <w:sz w:val="22"/>
                <w:szCs w:val="22"/>
                <w:lang w:val="sl-SI" w:eastAsia="sl-SI"/>
              </w:rPr>
            </w:pPr>
          </w:p>
          <w:p w:rsidR="00E73943" w:rsidRPr="008F2173" w:rsidRDefault="00E73943" w:rsidP="00E73943">
            <w:pPr>
              <w:outlineLvl w:val="4"/>
              <w:rPr>
                <w:rFonts w:ascii="Arial" w:eastAsia="Times New Roman" w:hAnsi="Arial" w:cs="Arial"/>
                <w:b/>
                <w:sz w:val="22"/>
                <w:szCs w:val="22"/>
                <w:lang w:val="sr-Latn-CS"/>
              </w:rPr>
            </w:pPr>
            <w:r w:rsidRPr="008F2173">
              <w:rPr>
                <w:rFonts w:ascii="Arial" w:eastAsia="Times New Roman" w:hAnsi="Arial" w:cs="Arial"/>
                <w:b/>
                <w:sz w:val="22"/>
                <w:szCs w:val="22"/>
                <w:lang w:val="sr-Latn-CS"/>
              </w:rPr>
              <w:t>Požari</w:t>
            </w:r>
          </w:p>
          <w:p w:rsidR="00E73943" w:rsidRPr="008F2173" w:rsidRDefault="00E73943" w:rsidP="00E73943">
            <w:pPr>
              <w:jc w:val="both"/>
              <w:rPr>
                <w:rFonts w:ascii="Arial" w:eastAsia="Times New Roman" w:hAnsi="Arial" w:cs="Arial"/>
                <w:bCs/>
                <w:sz w:val="22"/>
                <w:szCs w:val="22"/>
                <w:lang w:val="sl-SI" w:eastAsia="sl-SI"/>
              </w:rPr>
            </w:pPr>
            <w:r w:rsidRPr="008F2173">
              <w:rPr>
                <w:rFonts w:ascii="Arial" w:eastAsia="Times New Roman" w:hAnsi="Arial" w:cs="Arial"/>
                <w:bCs/>
                <w:sz w:val="22"/>
                <w:szCs w:val="22"/>
                <w:lang w:val="sl-SI" w:eastAsia="sl-SI"/>
              </w:rPr>
              <w:t>Iako je Boka Kotorska najkišovitije područje Evrope takve sezonske oborine pri ljetnoj suši i kamenitoj krškoj podlozi ne mogu spriječiti pojavu šumskih požara. Opasnost od požara pored prisojnih padina Vrmca, uglavnom raste prema nižim, sušnijim i južnijim, vanjskim dijelovima primorja uz otvoreni Jadran, gdje su paljevine i požarišta danas naročito rašireni u uvijek zelenom pojasu crnike – pojas Trašte Jaz. Veliki dio tog terena danas čine spaljene goleti na kojima se još vide nagorjeli ostaci makija i gariga, a u tom području su naročito podložni bili umjetni nasadi mediteranskih borova, pa ubuduće treba biti oprezan sa njihovim daljnjim unošenjem i širenjem, kojim se povećavaju opasnosti od novih požara.</w:t>
            </w:r>
          </w:p>
          <w:p w:rsidR="00E73943" w:rsidRPr="008F2173" w:rsidRDefault="00E73943" w:rsidP="00E73943">
            <w:pPr>
              <w:jc w:val="both"/>
              <w:rPr>
                <w:rFonts w:ascii="Arial" w:eastAsia="Times New Roman" w:hAnsi="Arial" w:cs="Arial"/>
                <w:bCs/>
                <w:sz w:val="22"/>
                <w:szCs w:val="22"/>
                <w:lang w:val="sl-SI" w:eastAsia="sl-SI"/>
              </w:rPr>
            </w:pPr>
          </w:p>
          <w:p w:rsidR="00E73943" w:rsidRPr="008F2173" w:rsidRDefault="00E73943" w:rsidP="00E73943">
            <w:pPr>
              <w:jc w:val="both"/>
              <w:rPr>
                <w:rFonts w:ascii="Arial" w:eastAsia="Times New Roman" w:hAnsi="Arial" w:cs="Arial"/>
                <w:bCs/>
                <w:sz w:val="22"/>
                <w:szCs w:val="22"/>
                <w:lang w:val="sl-SI" w:eastAsia="sl-SI"/>
              </w:rPr>
            </w:pPr>
            <w:r w:rsidRPr="008F2173">
              <w:rPr>
                <w:rFonts w:ascii="Arial" w:eastAsia="Times New Roman" w:hAnsi="Arial" w:cs="Arial"/>
                <w:bCs/>
                <w:sz w:val="22"/>
                <w:szCs w:val="22"/>
                <w:lang w:val="sl-SI" w:eastAsia="sl-SI"/>
              </w:rPr>
              <w:t>Širenje požarnih oluja na izgradjenim dijelovima grada sprječava se zaštitnim koridorima zelenila. U tu svrhu prostornim konceptom plana formirani su koridori zelenila i do 150 m širine koji dijele pojedine mikrorejone na manje urbane cjeline, a ove posebno planom formirane kazete, blokove i gradjevinske ansamble. Izgradjeni dijelovi razmatranog prostora moraju biti opremljeni funkcionalnom hidrantskom mrežom koja će omogućiti efikasnu zaštitu, odnosno gašenje nastalih požara.</w:t>
            </w:r>
          </w:p>
          <w:p w:rsidR="00AE1FF1" w:rsidRPr="008F2173" w:rsidRDefault="00AE1FF1" w:rsidP="0082554A">
            <w:pPr>
              <w:pStyle w:val="BodyText3"/>
              <w:spacing w:after="0"/>
              <w:jc w:val="both"/>
              <w:rPr>
                <w:rFonts w:ascii="Arial" w:hAnsi="Arial" w:cs="Arial"/>
                <w:sz w:val="22"/>
                <w:szCs w:val="22"/>
              </w:rPr>
            </w:pPr>
          </w:p>
        </w:tc>
      </w:tr>
      <w:tr w:rsidR="00727CDC" w:rsidRPr="007F5366" w:rsidTr="00922392">
        <w:trPr>
          <w:trHeight w:val="321"/>
          <w:jc w:val="center"/>
        </w:trPr>
        <w:tc>
          <w:tcPr>
            <w:tcW w:w="11558" w:type="dxa"/>
            <w:gridSpan w:val="5"/>
            <w:noWrap/>
            <w:vAlign w:val="center"/>
            <w:hideMark/>
          </w:tcPr>
          <w:p w:rsidR="0082554A" w:rsidRPr="007F5366" w:rsidRDefault="0082554A" w:rsidP="001F35E7">
            <w:pPr>
              <w:tabs>
                <w:tab w:val="left" w:pos="6915"/>
              </w:tabs>
              <w:rPr>
                <w:rFonts w:ascii="Arial" w:hAnsi="Arial" w:cs="Arial"/>
                <w:sz w:val="22"/>
                <w:szCs w:val="22"/>
              </w:rPr>
            </w:pPr>
          </w:p>
        </w:tc>
      </w:tr>
      <w:tr w:rsidR="00F04485" w:rsidRPr="007F5366" w:rsidTr="00922392">
        <w:trPr>
          <w:trHeight w:val="300"/>
          <w:jc w:val="center"/>
        </w:trPr>
        <w:tc>
          <w:tcPr>
            <w:tcW w:w="1772" w:type="dxa"/>
            <w:noWrap/>
            <w:vAlign w:val="center"/>
            <w:hideMark/>
          </w:tcPr>
          <w:p w:rsidR="00727CDC" w:rsidRPr="007F5366" w:rsidRDefault="00727CDC" w:rsidP="00F5152B">
            <w:pPr>
              <w:pStyle w:val="ListParagraph"/>
              <w:numPr>
                <w:ilvl w:val="0"/>
                <w:numId w:val="1"/>
              </w:numPr>
              <w:tabs>
                <w:tab w:val="left" w:pos="6915"/>
              </w:tabs>
              <w:rPr>
                <w:rFonts w:ascii="Arial" w:hAnsi="Arial" w:cs="Arial"/>
                <w:sz w:val="22"/>
                <w:szCs w:val="22"/>
              </w:rPr>
            </w:pPr>
            <w:r w:rsidRPr="007F5366">
              <w:rPr>
                <w:rFonts w:ascii="Arial" w:hAnsi="Arial" w:cs="Arial"/>
                <w:sz w:val="22"/>
                <w:szCs w:val="22"/>
              </w:rPr>
              <w:t>.</w:t>
            </w:r>
          </w:p>
        </w:tc>
        <w:tc>
          <w:tcPr>
            <w:tcW w:w="9786" w:type="dxa"/>
            <w:gridSpan w:val="4"/>
            <w:noWrap/>
            <w:vAlign w:val="center"/>
            <w:hideMark/>
          </w:tcPr>
          <w:p w:rsidR="00727CDC" w:rsidRPr="007F5366" w:rsidRDefault="00727CDC" w:rsidP="005053D0">
            <w:pPr>
              <w:tabs>
                <w:tab w:val="left" w:pos="6915"/>
              </w:tabs>
              <w:rPr>
                <w:rFonts w:ascii="Arial" w:hAnsi="Arial" w:cs="Arial"/>
                <w:b/>
                <w:bCs/>
                <w:sz w:val="22"/>
                <w:szCs w:val="22"/>
              </w:rPr>
            </w:pPr>
            <w:r w:rsidRPr="007F5366">
              <w:rPr>
                <w:rFonts w:ascii="Arial" w:hAnsi="Arial" w:cs="Arial"/>
                <w:b/>
                <w:bCs/>
                <w:sz w:val="22"/>
                <w:szCs w:val="22"/>
              </w:rPr>
              <w:t>USLOVI I MJERE ZAŠTITE ŽIVOTNE SREDINE</w:t>
            </w:r>
          </w:p>
        </w:tc>
      </w:tr>
      <w:tr w:rsidR="00F04485" w:rsidRPr="007F5366" w:rsidTr="00922392">
        <w:trPr>
          <w:trHeight w:val="780"/>
          <w:jc w:val="center"/>
        </w:trPr>
        <w:tc>
          <w:tcPr>
            <w:tcW w:w="1772" w:type="dxa"/>
            <w:noWrap/>
            <w:vAlign w:val="center"/>
            <w:hideMark/>
          </w:tcPr>
          <w:p w:rsidR="00727CDC" w:rsidRPr="007F5366" w:rsidRDefault="00727CDC" w:rsidP="005053D0">
            <w:pPr>
              <w:pStyle w:val="ListParagraph"/>
              <w:tabs>
                <w:tab w:val="left" w:pos="6915"/>
              </w:tabs>
              <w:rPr>
                <w:rFonts w:ascii="Arial" w:hAnsi="Arial" w:cs="Arial"/>
                <w:sz w:val="22"/>
                <w:szCs w:val="22"/>
              </w:rPr>
            </w:pPr>
          </w:p>
        </w:tc>
        <w:tc>
          <w:tcPr>
            <w:tcW w:w="9786" w:type="dxa"/>
            <w:gridSpan w:val="4"/>
            <w:noWrap/>
            <w:hideMark/>
          </w:tcPr>
          <w:p w:rsidR="007F5054" w:rsidRPr="008F2173" w:rsidRDefault="007F5054" w:rsidP="00571F9B">
            <w:pPr>
              <w:jc w:val="both"/>
              <w:rPr>
                <w:rFonts w:ascii="Arial" w:hAnsi="Arial" w:cs="Arial"/>
                <w:sz w:val="22"/>
                <w:szCs w:val="22"/>
                <w:lang w:val="pl-PL"/>
              </w:rPr>
            </w:pPr>
          </w:p>
          <w:p w:rsidR="00E73943" w:rsidRPr="008F2173" w:rsidRDefault="00E73943" w:rsidP="00E73943">
            <w:pPr>
              <w:jc w:val="both"/>
              <w:rPr>
                <w:rFonts w:ascii="Arial" w:eastAsia="Times New Roman" w:hAnsi="Arial" w:cs="Arial"/>
                <w:sz w:val="22"/>
                <w:szCs w:val="22"/>
                <w:lang w:val="pl-PL"/>
              </w:rPr>
            </w:pPr>
            <w:r w:rsidRPr="008F2173">
              <w:rPr>
                <w:rFonts w:ascii="Arial" w:eastAsia="Times New Roman" w:hAnsi="Arial" w:cs="Arial"/>
                <w:sz w:val="22"/>
                <w:szCs w:val="22"/>
                <w:lang w:val="pl-PL"/>
              </w:rPr>
              <w:t>Zaštita okoline naročito planiranje korišćenja prostora tako da se omogući održivi razvoj – razvoj uz istovremeno očuvanje prirodnih potencijala za razvoj budućih generacija – predstavlja jedan od najznačajnih i najkompleksnijih zadataka današnjice.</w:t>
            </w:r>
          </w:p>
          <w:p w:rsidR="00E73943" w:rsidRPr="008F2173" w:rsidRDefault="00E73943" w:rsidP="00E73943">
            <w:pPr>
              <w:jc w:val="both"/>
              <w:rPr>
                <w:rFonts w:ascii="Arial" w:eastAsia="Times New Roman" w:hAnsi="Arial" w:cs="Arial"/>
                <w:sz w:val="22"/>
                <w:szCs w:val="22"/>
                <w:lang w:val="pl-PL"/>
              </w:rPr>
            </w:pPr>
            <w:r w:rsidRPr="008F2173">
              <w:rPr>
                <w:rFonts w:ascii="Arial" w:eastAsia="Times New Roman" w:hAnsi="Arial" w:cs="Arial"/>
                <w:sz w:val="22"/>
                <w:szCs w:val="22"/>
                <w:lang w:val="pl-PL"/>
              </w:rPr>
              <w:t xml:space="preserve">Pod zaštitom okoline podrazumijeva se racionalno iskorišćavanje obnovljivih i neobnovljivih resursa kao osnovna orijentacija za temeljnu i neophodnu promjenu postojećih trendova, što znači stremljenje ka razvoju bez uništavanja. Drugim rijčima promjena trendova, između ostalog,  znači stimulisanje onih razvojnih djelatnosti za koje odredjeni prostor po prirodnim datostima, baštini i ljudskim potencijalima pruža optimalne uslove. </w:t>
            </w:r>
          </w:p>
          <w:p w:rsidR="00E73943" w:rsidRPr="008F2173" w:rsidRDefault="00E73943" w:rsidP="00E73943">
            <w:pPr>
              <w:jc w:val="both"/>
              <w:rPr>
                <w:rFonts w:ascii="Arial" w:eastAsia="Times New Roman" w:hAnsi="Arial" w:cs="Arial"/>
                <w:b/>
                <w:sz w:val="22"/>
                <w:szCs w:val="22"/>
                <w:lang w:val="pl-PL"/>
              </w:rPr>
            </w:pPr>
          </w:p>
          <w:p w:rsidR="00E73943" w:rsidRPr="008F2173" w:rsidRDefault="00E73943" w:rsidP="00E73943">
            <w:pPr>
              <w:jc w:val="both"/>
              <w:rPr>
                <w:rFonts w:ascii="Arial" w:eastAsia="Times New Roman" w:hAnsi="Arial" w:cs="Arial"/>
                <w:b/>
                <w:sz w:val="22"/>
                <w:szCs w:val="22"/>
                <w:lang w:val="pl-PL"/>
              </w:rPr>
            </w:pPr>
            <w:r w:rsidRPr="008F2173">
              <w:rPr>
                <w:rFonts w:ascii="Arial" w:eastAsia="Times New Roman" w:hAnsi="Arial" w:cs="Arial"/>
                <w:b/>
                <w:sz w:val="22"/>
                <w:szCs w:val="22"/>
                <w:lang w:val="pl-PL"/>
              </w:rPr>
              <w:t>Zaštita mora</w:t>
            </w:r>
          </w:p>
          <w:p w:rsidR="00E73943" w:rsidRPr="008F2173" w:rsidRDefault="00E73943" w:rsidP="00E73943">
            <w:pPr>
              <w:jc w:val="both"/>
              <w:rPr>
                <w:rFonts w:ascii="Arial" w:eastAsia="Times New Roman" w:hAnsi="Arial" w:cs="Arial"/>
                <w:sz w:val="22"/>
                <w:szCs w:val="22"/>
                <w:lang w:val="pl-PL"/>
              </w:rPr>
            </w:pPr>
            <w:r w:rsidRPr="008F2173">
              <w:rPr>
                <w:rFonts w:ascii="Arial" w:eastAsia="Times New Roman" w:hAnsi="Arial" w:cs="Arial"/>
                <w:sz w:val="22"/>
                <w:szCs w:val="22"/>
                <w:lang w:val="pl-PL"/>
              </w:rPr>
              <w:t>Istraživanja mora nisu se provodila za potrebe PUP-a Opštine Tivat. No, rezultati postojećih istraživanja ukazali su na potrebu integralne obrade kopna i mora, ne samo zato što se razvoj oduvijek odvijao u integralnom sklopu međuodnosa kopno-more, već i zato što je taj razvoj posljednjih decenija doveo do protivrječnosti u ovom području te se dalji prosperitet ne može očekivati, ako ne dodje do bitnih promjena u korišćenju i zaštiti prostora priobalnog kopna i mora.</w:t>
            </w:r>
          </w:p>
          <w:p w:rsidR="00E73943" w:rsidRPr="008F2173" w:rsidRDefault="00E73943" w:rsidP="00E73943">
            <w:pPr>
              <w:jc w:val="both"/>
              <w:rPr>
                <w:rFonts w:ascii="Arial" w:eastAsia="Times New Roman" w:hAnsi="Arial" w:cs="Arial"/>
                <w:sz w:val="22"/>
                <w:szCs w:val="22"/>
                <w:lang w:val="pl-PL"/>
              </w:rPr>
            </w:pPr>
            <w:r w:rsidRPr="008F2173">
              <w:rPr>
                <w:rFonts w:ascii="Arial" w:eastAsia="Times New Roman" w:hAnsi="Arial" w:cs="Arial"/>
                <w:sz w:val="22"/>
                <w:szCs w:val="22"/>
                <w:lang w:val="pl-PL"/>
              </w:rPr>
              <w:t>More i obalnom područje treba obrađivati sa stanovišta fenomena prostora i potencijala morske sredine za razvoj turizma, proizvodnju hrane, za narodnu obranu i kao izvor energije. Naime, najznačajniji fenomeni obalnog prostora za razvoj turizma, kao što su, pored klime, vrijednosti pejsaža, naročito atraktivnost prirodne razvedene obale, prozirnost i čistoća mora, te graditeljska baština, jedinstveni su u svjetskim razmjerama i čine prostor i okolinu ovog područja bitnim ekonomskim kategorijama.</w:t>
            </w:r>
          </w:p>
          <w:p w:rsidR="00E73943" w:rsidRPr="008F2173" w:rsidRDefault="00E73943" w:rsidP="00E73943">
            <w:pPr>
              <w:jc w:val="both"/>
              <w:rPr>
                <w:rFonts w:ascii="Arial" w:eastAsia="Times New Roman" w:hAnsi="Arial" w:cs="Arial"/>
                <w:sz w:val="22"/>
                <w:szCs w:val="22"/>
                <w:lang w:val="pl-PL"/>
              </w:rPr>
            </w:pPr>
            <w:r w:rsidRPr="008F2173">
              <w:rPr>
                <w:rFonts w:ascii="Arial" w:eastAsia="Times New Roman" w:hAnsi="Arial" w:cs="Arial"/>
                <w:sz w:val="22"/>
                <w:szCs w:val="22"/>
                <w:lang w:val="pl-PL"/>
              </w:rPr>
              <w:t>Turističku, stambenu i drugu gradnju na obali treba usmjeriti u dubinu prostora, po već usvojenom principu manjih aglomeracija uz ostavljanje slobodnih međuprostora.</w:t>
            </w:r>
          </w:p>
          <w:p w:rsidR="00E73943" w:rsidRPr="008F2173" w:rsidRDefault="00E73943" w:rsidP="00E73943">
            <w:pPr>
              <w:jc w:val="both"/>
              <w:rPr>
                <w:rFonts w:ascii="Arial" w:eastAsia="Times New Roman" w:hAnsi="Arial" w:cs="Arial"/>
                <w:sz w:val="22"/>
                <w:szCs w:val="22"/>
                <w:lang w:val="pl-PL"/>
              </w:rPr>
            </w:pPr>
            <w:r w:rsidRPr="008F2173">
              <w:rPr>
                <w:rFonts w:ascii="Arial" w:eastAsia="Times New Roman" w:hAnsi="Arial" w:cs="Arial"/>
                <w:sz w:val="22"/>
                <w:szCs w:val="22"/>
                <w:lang w:val="pl-PL"/>
              </w:rPr>
              <w:t>Posljedice zagađenja mora i obale, jedan je od najizraženijih ekoloških poremećaja u prostoru obuhvaćenog planom, a utiče na korišćenje mora u rekreacione i turističke svrhe. Pored ostalog,Tivatski zaliv ocijenjen je kao veoma pogodan prostor za razvoj marikulture. Zagadjenje mora otpadnim vodama (domaćinstva, turizam, proizvodnja, oborinske vode) jedan je od najtežih problema koje treba riješiti u sklopu zaštite prostora.</w:t>
            </w:r>
          </w:p>
          <w:p w:rsidR="00E73943" w:rsidRPr="008F2173" w:rsidRDefault="00E73943" w:rsidP="00E73943">
            <w:pPr>
              <w:jc w:val="both"/>
              <w:rPr>
                <w:rFonts w:ascii="Arial" w:eastAsia="Times New Roman" w:hAnsi="Arial" w:cs="Arial"/>
                <w:sz w:val="22"/>
                <w:szCs w:val="22"/>
                <w:lang w:val="pl-PL"/>
              </w:rPr>
            </w:pPr>
            <w:r w:rsidRPr="008F2173">
              <w:rPr>
                <w:rFonts w:ascii="Arial" w:eastAsia="Times New Roman" w:hAnsi="Arial" w:cs="Arial"/>
                <w:sz w:val="22"/>
                <w:szCs w:val="22"/>
                <w:lang w:val="pl-PL"/>
              </w:rPr>
              <w:t>Zato je integralno rješavanje sistema za obradu i dispoziciju otpadnih voda tivatskog i kotorskog područja sa ispustom u zalivu Trašte, odnosno u otvoreno more ,prioritetni zahvat ovog plana.</w:t>
            </w:r>
          </w:p>
          <w:p w:rsidR="00E73943" w:rsidRPr="008F2173" w:rsidRDefault="00E73943" w:rsidP="00E73943">
            <w:pPr>
              <w:jc w:val="both"/>
              <w:rPr>
                <w:rFonts w:ascii="Arial" w:eastAsia="Times New Roman" w:hAnsi="Arial" w:cs="Arial"/>
                <w:sz w:val="22"/>
                <w:szCs w:val="22"/>
                <w:lang w:val="pl-PL"/>
              </w:rPr>
            </w:pPr>
            <w:r w:rsidRPr="008F2173">
              <w:rPr>
                <w:rFonts w:ascii="Arial" w:eastAsia="Times New Roman" w:hAnsi="Arial" w:cs="Arial"/>
                <w:sz w:val="22"/>
                <w:szCs w:val="22"/>
                <w:lang w:val="pl-PL"/>
              </w:rPr>
              <w:t>U samom Tivtu postoji potencijalna opasnost da brodovi usidreni u gradu i u predviđenim marinama nekontrolisano ,bilo iz nehata ili slučajno, greškom ne ispuste naftu odnosno njen otpad što bi izrazvalo katstrofalne posljedice u cijelom zalivu. Stoga treba, a u svrhu preventivne zaštite od zagađenja zaliva, naftom osigurati potrebna tehnička pomagala (brod, crpke, zaštite plutače), koja omogućuju hitnu intervenciju u slučaju takve ekološke katastrofe.</w:t>
            </w:r>
          </w:p>
          <w:p w:rsidR="00E73943" w:rsidRPr="008F2173" w:rsidRDefault="00E73943" w:rsidP="00E73943">
            <w:pPr>
              <w:jc w:val="both"/>
              <w:rPr>
                <w:rFonts w:ascii="Arial" w:eastAsia="Times New Roman" w:hAnsi="Arial" w:cs="Arial"/>
                <w:b/>
                <w:sz w:val="22"/>
                <w:szCs w:val="22"/>
                <w:lang w:val="pl-PL"/>
              </w:rPr>
            </w:pPr>
            <w:r w:rsidRPr="008F2173">
              <w:rPr>
                <w:rFonts w:ascii="Arial" w:eastAsia="Times New Roman" w:hAnsi="Arial" w:cs="Arial"/>
                <w:b/>
                <w:sz w:val="22"/>
                <w:szCs w:val="22"/>
                <w:lang w:val="pl-PL"/>
              </w:rPr>
              <w:t>Zaštita i racionalno korišćenje zemljišta</w:t>
            </w:r>
          </w:p>
          <w:p w:rsidR="00E73943" w:rsidRPr="008F2173" w:rsidRDefault="00E73943" w:rsidP="00E73943">
            <w:pPr>
              <w:jc w:val="both"/>
              <w:rPr>
                <w:rFonts w:ascii="Arial" w:eastAsia="Times New Roman" w:hAnsi="Arial" w:cs="Arial"/>
                <w:sz w:val="22"/>
                <w:szCs w:val="22"/>
                <w:lang w:val="pl-PL"/>
              </w:rPr>
            </w:pPr>
            <w:r w:rsidRPr="008F2173">
              <w:rPr>
                <w:rFonts w:ascii="Arial" w:eastAsia="Times New Roman" w:hAnsi="Arial" w:cs="Arial"/>
                <w:sz w:val="22"/>
                <w:szCs w:val="22"/>
                <w:lang w:val="pl-PL"/>
              </w:rPr>
              <w:t xml:space="preserve">Jedna od osnovnih prirodnih funkcija tla je proizvodnja bilja i stoga bi sva raspoloživa plodna zemljišta, po pravilu, trebalo koristiti za poljoprivrednu proizvodnju. Veći dio poljoprivrednog </w:t>
            </w:r>
            <w:r w:rsidRPr="008F2173">
              <w:rPr>
                <w:rFonts w:ascii="Arial" w:eastAsia="Times New Roman" w:hAnsi="Arial" w:cs="Arial"/>
                <w:sz w:val="22"/>
                <w:szCs w:val="22"/>
                <w:lang w:val="pl-PL"/>
              </w:rPr>
              <w:lastRenderedPageBreak/>
              <w:t>zemljišta danas je van funkcije i zapušteno. PUP Tivat predviđa rekultivaciju zapuštenog poljoprivrednog zemljišta kao komplementarne djelatnosti razvoja turizma (poglavje 4.3.1).</w:t>
            </w:r>
          </w:p>
          <w:p w:rsidR="00E73943" w:rsidRPr="008F2173" w:rsidRDefault="00E73943" w:rsidP="00E73943">
            <w:pPr>
              <w:jc w:val="both"/>
              <w:rPr>
                <w:rFonts w:ascii="Arial" w:eastAsia="Times New Roman" w:hAnsi="Arial" w:cs="Arial"/>
                <w:sz w:val="22"/>
                <w:szCs w:val="22"/>
                <w:lang w:val="pl-PL"/>
              </w:rPr>
            </w:pPr>
            <w:r w:rsidRPr="008F2173">
              <w:rPr>
                <w:rFonts w:ascii="Arial" w:eastAsia="Times New Roman" w:hAnsi="Arial" w:cs="Arial"/>
                <w:sz w:val="22"/>
                <w:szCs w:val="22"/>
                <w:lang w:val="pl-PL"/>
              </w:rPr>
              <w:t>U prostoru Tivatskog polja najveća oštećenja tla čine površinski kopovi za potrebe industrijskog pogona nekadašnje ciglane. Površinski kopovi su locirani u okolini Ciglane i to počevši od podnožja kod Sinjareva do raskršća puteva Kotor – Budva. Predviđa se sanacija i rekultivacija tla na tim lokacijama.</w:t>
            </w:r>
          </w:p>
          <w:p w:rsidR="00E73943" w:rsidRPr="008F2173" w:rsidRDefault="00E73943" w:rsidP="00E73943">
            <w:pPr>
              <w:jc w:val="both"/>
              <w:rPr>
                <w:rFonts w:ascii="Arial" w:eastAsia="Times New Roman" w:hAnsi="Arial" w:cs="Arial"/>
                <w:sz w:val="22"/>
                <w:szCs w:val="22"/>
                <w:lang w:val="pl-PL"/>
              </w:rPr>
            </w:pPr>
            <w:r w:rsidRPr="008F2173">
              <w:rPr>
                <w:rFonts w:ascii="Arial" w:eastAsia="Times New Roman" w:hAnsi="Arial" w:cs="Arial"/>
                <w:sz w:val="22"/>
                <w:szCs w:val="22"/>
                <w:lang w:val="pl-PL"/>
              </w:rPr>
              <w:t>Značajan problem u korišćenju tla u poljoprivredi je nekontrolisana upotreba pesticida. Njihovo unošenje, na taj način, u prirodnu okolinu odražava se direktno i posredno na stanje ljudskog zdravlja, te na ukupni biljni i životinjski svijet. Zato praćenje i kontrola korišćenja pesticida u poljoprivredi treba da postane trajna i važna aktivnost zaštite čovjekove okoline.</w:t>
            </w:r>
          </w:p>
          <w:p w:rsidR="00E73943" w:rsidRPr="008F2173" w:rsidRDefault="00E73943" w:rsidP="00E73943">
            <w:pPr>
              <w:jc w:val="both"/>
              <w:rPr>
                <w:rFonts w:ascii="Arial" w:eastAsia="Times New Roman" w:hAnsi="Arial" w:cs="Arial"/>
                <w:sz w:val="22"/>
                <w:szCs w:val="22"/>
                <w:lang w:val="pl-PL"/>
              </w:rPr>
            </w:pPr>
            <w:r w:rsidRPr="008F2173">
              <w:rPr>
                <w:rFonts w:ascii="Arial" w:eastAsia="Times New Roman" w:hAnsi="Arial" w:cs="Arial"/>
                <w:sz w:val="22"/>
                <w:szCs w:val="22"/>
                <w:lang w:val="pl-PL"/>
              </w:rPr>
              <w:t>U osnovnoj namjeni prostora PUP-a prihvaćeno je generalno načelo da postojeće šumske površine ne bi trebalo smanjivati, osim područje degradirane makije u Krtolima. Gazdovanje šumama treba usmjeriti u pravcu jačanja zaštitno-regulatornih i socio-kulturnih funkcija (poglavje 4.3.2).</w:t>
            </w:r>
          </w:p>
          <w:p w:rsidR="00E73943" w:rsidRPr="008F2173" w:rsidRDefault="00E73943" w:rsidP="00E73943">
            <w:pPr>
              <w:jc w:val="both"/>
              <w:rPr>
                <w:rFonts w:ascii="Arial" w:eastAsia="Times New Roman" w:hAnsi="Arial" w:cs="Arial"/>
                <w:sz w:val="22"/>
                <w:szCs w:val="22"/>
                <w:lang w:val="pl-PL"/>
              </w:rPr>
            </w:pPr>
            <w:r w:rsidRPr="008F2173">
              <w:rPr>
                <w:rFonts w:ascii="Arial" w:eastAsia="Times New Roman" w:hAnsi="Arial" w:cs="Arial"/>
                <w:sz w:val="22"/>
                <w:szCs w:val="22"/>
                <w:lang w:val="pl-PL"/>
              </w:rPr>
              <w:t>Radi racionalnijeg korišćenja i zaštite prirodnih resursa i prostora uopšte , neophodno je preduzimanje odgovarajućih mjera i u zemljišnoj politici, posebno u pogledu sprečavanja konverzije poljoprivrednog zemljišta u nepoljoprivredne namjene, te racionalnog korišćenja građevinskih područja.</w:t>
            </w:r>
          </w:p>
          <w:p w:rsidR="00E73943" w:rsidRPr="008F2173" w:rsidRDefault="00E73943" w:rsidP="00E73943">
            <w:pPr>
              <w:jc w:val="both"/>
              <w:rPr>
                <w:rFonts w:ascii="Arial" w:eastAsia="Times New Roman" w:hAnsi="Arial" w:cs="Arial"/>
                <w:sz w:val="22"/>
                <w:szCs w:val="22"/>
                <w:lang w:val="pl-PL"/>
              </w:rPr>
            </w:pPr>
          </w:p>
          <w:p w:rsidR="00E73943" w:rsidRPr="008F2173" w:rsidRDefault="00E73943" w:rsidP="00E73943">
            <w:pPr>
              <w:jc w:val="both"/>
              <w:rPr>
                <w:rFonts w:ascii="Arial" w:eastAsia="Times New Roman" w:hAnsi="Arial" w:cs="Arial"/>
                <w:b/>
                <w:sz w:val="22"/>
                <w:szCs w:val="22"/>
                <w:lang w:val="pl-PL"/>
              </w:rPr>
            </w:pPr>
            <w:r w:rsidRPr="008F2173">
              <w:rPr>
                <w:rFonts w:ascii="Arial" w:eastAsia="Times New Roman" w:hAnsi="Arial" w:cs="Arial"/>
                <w:b/>
                <w:sz w:val="22"/>
                <w:szCs w:val="22"/>
                <w:lang w:val="pl-PL"/>
              </w:rPr>
              <w:t>Zaštita zraka</w:t>
            </w:r>
          </w:p>
          <w:p w:rsidR="00E73943" w:rsidRPr="008F2173" w:rsidRDefault="00E73943" w:rsidP="00E73943">
            <w:pPr>
              <w:jc w:val="both"/>
              <w:rPr>
                <w:rFonts w:ascii="Arial" w:eastAsia="Times New Roman" w:hAnsi="Arial" w:cs="Arial"/>
                <w:sz w:val="22"/>
                <w:szCs w:val="22"/>
                <w:lang w:val="pl-PL"/>
              </w:rPr>
            </w:pPr>
            <w:r w:rsidRPr="008F2173">
              <w:rPr>
                <w:rFonts w:ascii="Arial" w:eastAsia="Times New Roman" w:hAnsi="Arial" w:cs="Arial"/>
                <w:sz w:val="22"/>
                <w:szCs w:val="22"/>
                <w:lang w:val="pl-PL"/>
              </w:rPr>
              <w:t>Zaštitu zraka od zagađivanja potrebno je sprovesti  nizom koordiniranih aktivnosti – regulacijom saobraćaja, premještanjem zagađivača van naseljenih zona, te ugradnjom potrebnih uredjaja u proizvodnji. Za preciznije mjere zaštite bilo bi nužno izraditi katastar zagadjivača.</w:t>
            </w:r>
          </w:p>
          <w:p w:rsidR="00E73943" w:rsidRPr="008F2173" w:rsidRDefault="00E73943" w:rsidP="00E73943">
            <w:pPr>
              <w:jc w:val="both"/>
              <w:rPr>
                <w:rFonts w:ascii="Arial" w:eastAsia="Times New Roman" w:hAnsi="Arial" w:cs="Arial"/>
                <w:sz w:val="22"/>
                <w:szCs w:val="22"/>
                <w:lang w:val="pl-PL"/>
              </w:rPr>
            </w:pPr>
          </w:p>
          <w:p w:rsidR="00E73943" w:rsidRPr="008F2173" w:rsidRDefault="00E73943" w:rsidP="00E73943">
            <w:pPr>
              <w:jc w:val="both"/>
              <w:rPr>
                <w:rFonts w:ascii="Arial" w:eastAsia="Times New Roman" w:hAnsi="Arial" w:cs="Arial"/>
                <w:b/>
                <w:sz w:val="22"/>
                <w:szCs w:val="22"/>
                <w:lang w:val="pl-PL"/>
              </w:rPr>
            </w:pPr>
            <w:r w:rsidRPr="008F2173">
              <w:rPr>
                <w:rFonts w:ascii="Arial" w:eastAsia="Times New Roman" w:hAnsi="Arial" w:cs="Arial"/>
                <w:b/>
                <w:sz w:val="22"/>
                <w:szCs w:val="22"/>
                <w:lang w:val="pl-PL"/>
              </w:rPr>
              <w:t>Zaštita od buke</w:t>
            </w:r>
          </w:p>
          <w:p w:rsidR="00E73943" w:rsidRPr="008F2173" w:rsidRDefault="00E73943" w:rsidP="00E73943">
            <w:pPr>
              <w:jc w:val="both"/>
              <w:rPr>
                <w:rFonts w:ascii="Arial" w:eastAsia="Times New Roman" w:hAnsi="Arial" w:cs="Arial"/>
                <w:sz w:val="22"/>
                <w:szCs w:val="22"/>
                <w:lang w:val="pl-PL"/>
              </w:rPr>
            </w:pPr>
            <w:r w:rsidRPr="008F2173">
              <w:rPr>
                <w:rFonts w:ascii="Arial" w:eastAsia="Times New Roman" w:hAnsi="Arial" w:cs="Arial"/>
                <w:sz w:val="22"/>
                <w:szCs w:val="22"/>
                <w:lang w:val="pl-PL"/>
              </w:rPr>
              <w:t>U opštini Tivat (naročito u širem gradskom području Tivta) avionska buka predstavlja jedan od najtežih problema. Naročito je izražena s obzirom da je aerodrom smješten u neposrednoj blizini grada (3,5 km od centra). Djelovi naselja koji su smješteni neposredno uz aerodrom ugroženi su bukom čiji intenzitet prelazi jačinu od 98 decibela.</w:t>
            </w:r>
          </w:p>
          <w:p w:rsidR="00E73943" w:rsidRPr="008F2173" w:rsidRDefault="00E73943" w:rsidP="00E73943">
            <w:pPr>
              <w:jc w:val="both"/>
              <w:rPr>
                <w:rFonts w:ascii="Arial" w:eastAsia="Times New Roman" w:hAnsi="Arial" w:cs="Arial"/>
                <w:sz w:val="22"/>
                <w:szCs w:val="22"/>
                <w:lang w:val="pl-PL"/>
              </w:rPr>
            </w:pPr>
            <w:r w:rsidRPr="008F2173">
              <w:rPr>
                <w:rFonts w:ascii="Arial" w:eastAsia="Times New Roman" w:hAnsi="Arial" w:cs="Arial"/>
                <w:sz w:val="22"/>
                <w:szCs w:val="22"/>
                <w:lang w:val="pl-PL"/>
              </w:rPr>
              <w:t>Ovaj poremećaj u prostoru naročito je osjetljiv u vrijeme ljetnje sezone kada je intenzitet avionskog prometa mnogostruko veći nego zimi. Nova tehnologija zrakoplova koji proizvode i za 30 % manju buku bitan je doprinos zaštiti okoline u Tivtu.</w:t>
            </w:r>
          </w:p>
          <w:p w:rsidR="00E73943" w:rsidRPr="008F2173" w:rsidRDefault="00E73943" w:rsidP="00E73943">
            <w:pPr>
              <w:jc w:val="both"/>
              <w:rPr>
                <w:rFonts w:ascii="Arial" w:eastAsia="Times New Roman" w:hAnsi="Arial" w:cs="Arial"/>
                <w:sz w:val="22"/>
                <w:szCs w:val="22"/>
                <w:lang w:val="pl-PL"/>
              </w:rPr>
            </w:pPr>
            <w:r w:rsidRPr="008F2173">
              <w:rPr>
                <w:rFonts w:ascii="Arial" w:eastAsia="Times New Roman" w:hAnsi="Arial" w:cs="Arial"/>
                <w:sz w:val="22"/>
                <w:szCs w:val="22"/>
                <w:lang w:val="pl-PL"/>
              </w:rPr>
              <w:t>Sveobuhvatni zacrtani razvoj Boke Kotorske i šireg uticajnog područja izazvaće  znatno pojačani intenzitet avinskog prometa, a time i učestalost i intenzitet buke. Pošto je nerealno očekivati preseljenje aerodroma jedina moguća mjera zaštite od buke (djelimično) može se postići tako da se operacije slijetanja, a naročito polijetanja obavezno vrše u smjeru jugo-istoka. Svakako, to zavisi  od datih atmosferskih prilika (vjetra), međutim ljeti ,kada je promet na aerodromu najintenzivniji , atmosferske prilike su i najpogodnije.</w:t>
            </w:r>
          </w:p>
          <w:p w:rsidR="00E73943" w:rsidRPr="008F2173" w:rsidRDefault="00E73943" w:rsidP="00E73943">
            <w:pPr>
              <w:jc w:val="both"/>
              <w:rPr>
                <w:rFonts w:ascii="Arial" w:eastAsia="Times New Roman" w:hAnsi="Arial" w:cs="Arial"/>
                <w:sz w:val="22"/>
                <w:szCs w:val="22"/>
                <w:lang w:val="pl-PL"/>
              </w:rPr>
            </w:pPr>
            <w:r w:rsidRPr="008F2173">
              <w:rPr>
                <w:rFonts w:ascii="Arial" w:eastAsia="Times New Roman" w:hAnsi="Arial" w:cs="Arial"/>
                <w:sz w:val="22"/>
                <w:szCs w:val="22"/>
                <w:lang w:val="pl-PL"/>
              </w:rPr>
              <w:t>Za zaštitu od buke u stambenim i drugim zonama nužno je sprovesti adekvatne mjere (urbanističke, tehničke, sanitarne, tehnološke, hortikulturne, prometne, administrativne i dr.). Zaštitu zraka od zagađivanja bukom treba rješavati kooridiranim akcijama. Prije svega, regulisanjem  saobraćaja kroz naselja u skladu sa saobraćajnim rješenjem, provođenjem zaštitnih mjera u slučaju tačkastog izvora buke (proizvodni pogoni), kao i posebnim, odgovarajućim mjerama za smanjenje avionske buke.</w:t>
            </w:r>
          </w:p>
          <w:p w:rsidR="00E73943" w:rsidRPr="008F2173" w:rsidRDefault="00E73943" w:rsidP="00E73943">
            <w:pPr>
              <w:jc w:val="both"/>
              <w:rPr>
                <w:rFonts w:ascii="Arial" w:eastAsia="Times New Roman" w:hAnsi="Arial" w:cs="Arial"/>
                <w:sz w:val="22"/>
                <w:szCs w:val="22"/>
                <w:lang w:val="pl-PL"/>
              </w:rPr>
            </w:pPr>
          </w:p>
          <w:p w:rsidR="00E73943" w:rsidRPr="008F2173" w:rsidRDefault="00E73943" w:rsidP="00E73943">
            <w:pPr>
              <w:jc w:val="both"/>
              <w:rPr>
                <w:rFonts w:ascii="Arial" w:eastAsia="Times New Roman" w:hAnsi="Arial" w:cs="Arial"/>
                <w:b/>
                <w:sz w:val="22"/>
                <w:szCs w:val="22"/>
                <w:lang w:val="pl-PL"/>
              </w:rPr>
            </w:pPr>
            <w:r w:rsidRPr="008F2173">
              <w:rPr>
                <w:rFonts w:ascii="Arial" w:eastAsia="Times New Roman" w:hAnsi="Arial" w:cs="Arial"/>
                <w:b/>
                <w:sz w:val="22"/>
                <w:szCs w:val="22"/>
                <w:lang w:val="pl-PL"/>
              </w:rPr>
              <w:t>Zaštita voda</w:t>
            </w:r>
          </w:p>
          <w:p w:rsidR="00E73943" w:rsidRPr="008F2173" w:rsidRDefault="00E73943" w:rsidP="00E73943">
            <w:pPr>
              <w:jc w:val="both"/>
              <w:rPr>
                <w:rFonts w:ascii="Arial" w:eastAsia="Times New Roman" w:hAnsi="Arial" w:cs="Arial"/>
                <w:sz w:val="22"/>
                <w:szCs w:val="22"/>
                <w:lang w:val="pl-PL"/>
              </w:rPr>
            </w:pPr>
            <w:r w:rsidRPr="008F2173">
              <w:rPr>
                <w:rFonts w:ascii="Arial" w:eastAsia="Times New Roman" w:hAnsi="Arial" w:cs="Arial"/>
                <w:sz w:val="22"/>
                <w:szCs w:val="22"/>
                <w:lang w:val="pl-PL"/>
              </w:rPr>
              <w:t>Iako je voda resurs koji se može potpuno obnavljati njeno koriščenje ograničeno je stvarno raspoloživim količinama, mogućnostima distribucije i kvalitetom. Problem opskrbe vodom Opštine Tivat jedno je od bitnih ograničenja za dalji razvoj prvenstveno zbog toga što područje opštine raspolaže ograničenim količinama koje ne zadovoljavaju u potpunosti ni zahtjeve kvaliteta. Iz tog je razloga zacrtano opredjeljenje za što hitnijim uključenjem prostora Opštine Tivat u sistem regionalnog vodovoda koji će omogućiti kvalitetno i dugoročno rješenje opskrbe vodom svih postojećih i planiranih korisnika u prostoru opštine.</w:t>
            </w:r>
          </w:p>
          <w:p w:rsidR="00E73943" w:rsidRPr="00102C34" w:rsidRDefault="00E73943" w:rsidP="00E73943">
            <w:pPr>
              <w:jc w:val="both"/>
              <w:rPr>
                <w:rFonts w:ascii="Arial" w:eastAsia="Times New Roman" w:hAnsi="Arial" w:cs="Arial"/>
                <w:sz w:val="22"/>
                <w:szCs w:val="22"/>
                <w:lang w:val="pl-PL"/>
              </w:rPr>
            </w:pPr>
            <w:r w:rsidRPr="00102C34">
              <w:rPr>
                <w:rFonts w:ascii="Arial" w:eastAsia="Times New Roman" w:hAnsi="Arial" w:cs="Arial"/>
                <w:sz w:val="22"/>
                <w:szCs w:val="22"/>
                <w:lang w:val="pl-PL"/>
              </w:rPr>
              <w:t>Nepohodno je predvidjeti sve potrebne sanitarne mjere zaštite izvorišta i kaptaža, te rezervoara pitne vode.</w:t>
            </w:r>
          </w:p>
          <w:p w:rsidR="00E73943" w:rsidRPr="008F2173" w:rsidRDefault="00E73943" w:rsidP="00E73943">
            <w:pPr>
              <w:jc w:val="both"/>
              <w:rPr>
                <w:rFonts w:ascii="Arial" w:eastAsia="Times New Roman" w:hAnsi="Arial" w:cs="Arial"/>
                <w:b/>
                <w:sz w:val="22"/>
                <w:szCs w:val="22"/>
                <w:lang w:val="pl-PL"/>
              </w:rPr>
            </w:pPr>
            <w:r w:rsidRPr="008F2173">
              <w:rPr>
                <w:rFonts w:ascii="Arial" w:eastAsia="Times New Roman" w:hAnsi="Arial" w:cs="Arial"/>
                <w:b/>
                <w:sz w:val="22"/>
                <w:szCs w:val="22"/>
                <w:lang w:val="pl-PL"/>
              </w:rPr>
              <w:t>Deponiranje otpadaka</w:t>
            </w:r>
          </w:p>
          <w:p w:rsidR="00E73943" w:rsidRPr="008F2173" w:rsidRDefault="00E73943" w:rsidP="00E73943">
            <w:pPr>
              <w:jc w:val="both"/>
              <w:rPr>
                <w:rFonts w:ascii="Arial" w:eastAsia="Times New Roman" w:hAnsi="Arial" w:cs="Arial"/>
                <w:sz w:val="22"/>
                <w:szCs w:val="22"/>
                <w:lang w:val="pl-PL"/>
              </w:rPr>
            </w:pPr>
            <w:r w:rsidRPr="008F2173">
              <w:rPr>
                <w:rFonts w:ascii="Arial" w:eastAsia="Times New Roman" w:hAnsi="Arial" w:cs="Arial"/>
                <w:sz w:val="22"/>
                <w:szCs w:val="22"/>
                <w:lang w:val="pl-PL"/>
              </w:rPr>
              <w:t>Zbiranje otpadaka je u Opštini Tivat neadekvatno rješeno. Planirani sistem sakupljanja otpada za cijelu teritoriju opštine, uređenje reciklažnog dvorišta u servisno komunalnoj zoni u Kukuljini i odvoz na regionalnu deponiju bitno će poboljšati postojeće stanje.</w:t>
            </w:r>
          </w:p>
          <w:p w:rsidR="00620603" w:rsidRDefault="00E73943" w:rsidP="008F2173">
            <w:pPr>
              <w:autoSpaceDE w:val="0"/>
              <w:autoSpaceDN w:val="0"/>
              <w:adjustRightInd w:val="0"/>
              <w:ind w:right="-34"/>
              <w:jc w:val="both"/>
              <w:rPr>
                <w:rFonts w:ascii="Arial" w:eastAsia="Times New Roman" w:hAnsi="Arial" w:cs="Arial"/>
                <w:sz w:val="22"/>
                <w:szCs w:val="22"/>
                <w:lang w:val="pl-PL"/>
              </w:rPr>
            </w:pPr>
            <w:r w:rsidRPr="008F2173">
              <w:rPr>
                <w:rFonts w:ascii="Arial" w:eastAsia="Times New Roman" w:hAnsi="Arial" w:cs="Arial"/>
                <w:sz w:val="22"/>
                <w:szCs w:val="22"/>
                <w:lang w:val="pl-PL"/>
              </w:rPr>
              <w:t>Planira se sanacija zatvorenih deponija u Sinjarevu i Grabovcu te sanacija neuređenih odlagališta.</w:t>
            </w:r>
          </w:p>
          <w:p w:rsidR="00226D34" w:rsidRPr="008F2173" w:rsidRDefault="00226D34" w:rsidP="008F2173">
            <w:pPr>
              <w:autoSpaceDE w:val="0"/>
              <w:autoSpaceDN w:val="0"/>
              <w:adjustRightInd w:val="0"/>
              <w:ind w:right="-34"/>
              <w:jc w:val="both"/>
              <w:rPr>
                <w:rFonts w:ascii="Arial" w:hAnsi="Arial" w:cs="Arial"/>
                <w:sz w:val="22"/>
                <w:szCs w:val="22"/>
                <w:lang w:val="hr-HR"/>
              </w:rPr>
            </w:pPr>
          </w:p>
        </w:tc>
      </w:tr>
      <w:tr w:rsidR="00727CDC" w:rsidRPr="007F5366" w:rsidTr="00922392">
        <w:trPr>
          <w:trHeight w:val="215"/>
          <w:jc w:val="center"/>
        </w:trPr>
        <w:tc>
          <w:tcPr>
            <w:tcW w:w="11558" w:type="dxa"/>
            <w:gridSpan w:val="5"/>
            <w:noWrap/>
            <w:vAlign w:val="center"/>
            <w:hideMark/>
          </w:tcPr>
          <w:p w:rsidR="00EE5B0E" w:rsidRPr="007F5366" w:rsidRDefault="00EE5B0E" w:rsidP="00652A01">
            <w:pPr>
              <w:tabs>
                <w:tab w:val="left" w:pos="6915"/>
              </w:tabs>
              <w:rPr>
                <w:rFonts w:ascii="Arial" w:hAnsi="Arial" w:cs="Arial"/>
                <w:sz w:val="22"/>
                <w:szCs w:val="22"/>
              </w:rPr>
            </w:pPr>
          </w:p>
        </w:tc>
      </w:tr>
      <w:tr w:rsidR="00F04485" w:rsidRPr="007F5366" w:rsidTr="00922392">
        <w:trPr>
          <w:trHeight w:val="300"/>
          <w:jc w:val="center"/>
        </w:trPr>
        <w:tc>
          <w:tcPr>
            <w:tcW w:w="1772" w:type="dxa"/>
            <w:noWrap/>
            <w:vAlign w:val="center"/>
            <w:hideMark/>
          </w:tcPr>
          <w:p w:rsidR="00727CDC" w:rsidRPr="007F5366" w:rsidRDefault="00727CDC" w:rsidP="00F5152B">
            <w:pPr>
              <w:pStyle w:val="ListParagraph"/>
              <w:numPr>
                <w:ilvl w:val="0"/>
                <w:numId w:val="1"/>
              </w:numPr>
              <w:tabs>
                <w:tab w:val="left" w:pos="6915"/>
              </w:tabs>
              <w:rPr>
                <w:rFonts w:ascii="Arial" w:hAnsi="Arial" w:cs="Arial"/>
                <w:sz w:val="22"/>
                <w:szCs w:val="22"/>
              </w:rPr>
            </w:pPr>
            <w:r w:rsidRPr="007F5366">
              <w:rPr>
                <w:rFonts w:ascii="Arial" w:hAnsi="Arial" w:cs="Arial"/>
                <w:sz w:val="22"/>
                <w:szCs w:val="22"/>
              </w:rPr>
              <w:lastRenderedPageBreak/>
              <w:t>.</w:t>
            </w:r>
          </w:p>
        </w:tc>
        <w:tc>
          <w:tcPr>
            <w:tcW w:w="9786" w:type="dxa"/>
            <w:gridSpan w:val="4"/>
            <w:noWrap/>
            <w:vAlign w:val="center"/>
            <w:hideMark/>
          </w:tcPr>
          <w:p w:rsidR="00727CDC" w:rsidRPr="007F5366" w:rsidRDefault="00727CDC" w:rsidP="005053D0">
            <w:pPr>
              <w:tabs>
                <w:tab w:val="left" w:pos="6915"/>
              </w:tabs>
              <w:rPr>
                <w:rFonts w:ascii="Arial" w:hAnsi="Arial" w:cs="Arial"/>
                <w:b/>
                <w:bCs/>
                <w:sz w:val="22"/>
                <w:szCs w:val="22"/>
              </w:rPr>
            </w:pPr>
            <w:r w:rsidRPr="007F5366">
              <w:rPr>
                <w:rFonts w:ascii="Arial" w:hAnsi="Arial" w:cs="Arial"/>
                <w:b/>
                <w:bCs/>
                <w:sz w:val="22"/>
                <w:szCs w:val="22"/>
              </w:rPr>
              <w:t xml:space="preserve">USLOVI ZA PEJZAŽNO OBLIKOVANJE </w:t>
            </w:r>
          </w:p>
        </w:tc>
      </w:tr>
      <w:tr w:rsidR="00652A01" w:rsidRPr="007F5366" w:rsidTr="00922392">
        <w:trPr>
          <w:trHeight w:val="300"/>
          <w:jc w:val="center"/>
        </w:trPr>
        <w:tc>
          <w:tcPr>
            <w:tcW w:w="1772" w:type="dxa"/>
            <w:noWrap/>
            <w:vAlign w:val="center"/>
          </w:tcPr>
          <w:p w:rsidR="00652A01" w:rsidRPr="007F5366" w:rsidRDefault="00652A01" w:rsidP="00652A01">
            <w:pPr>
              <w:pStyle w:val="ListParagraph"/>
              <w:tabs>
                <w:tab w:val="left" w:pos="6915"/>
              </w:tabs>
              <w:rPr>
                <w:rFonts w:ascii="Arial" w:hAnsi="Arial" w:cs="Arial"/>
                <w:sz w:val="22"/>
                <w:szCs w:val="22"/>
              </w:rPr>
            </w:pPr>
          </w:p>
        </w:tc>
        <w:tc>
          <w:tcPr>
            <w:tcW w:w="9786" w:type="dxa"/>
            <w:gridSpan w:val="4"/>
            <w:noWrap/>
            <w:vAlign w:val="center"/>
          </w:tcPr>
          <w:p w:rsidR="00DD2FDE" w:rsidRPr="007F5366" w:rsidRDefault="00102C34" w:rsidP="00102C34">
            <w:pPr>
              <w:jc w:val="both"/>
              <w:rPr>
                <w:rFonts w:ascii="Arial" w:hAnsi="Arial" w:cs="Arial"/>
                <w:sz w:val="22"/>
                <w:szCs w:val="22"/>
                <w:lang w:val="sr-Latn-CS"/>
              </w:rPr>
            </w:pPr>
            <w:r w:rsidRPr="00102C34">
              <w:rPr>
                <w:rFonts w:ascii="Arial" w:hAnsi="Arial" w:cs="Arial"/>
                <w:b/>
                <w:sz w:val="22"/>
                <w:szCs w:val="22"/>
                <w:lang w:val="sr-Latn-CS"/>
              </w:rPr>
              <w:t>Gradsko zelenilo javnog korišćenja</w:t>
            </w:r>
            <w:r w:rsidRPr="00102C34">
              <w:rPr>
                <w:rFonts w:ascii="Arial" w:hAnsi="Arial" w:cs="Arial"/>
                <w:sz w:val="22"/>
                <w:szCs w:val="22"/>
                <w:lang w:val="sr-Latn-CS"/>
              </w:rPr>
              <w:t xml:space="preserve"> obuhvata: parkove, park šume, zone rekreacije izmedju stambenih naselja, Lungo- mare, </w:t>
            </w:r>
            <w:r w:rsidRPr="00102C34">
              <w:rPr>
                <w:rFonts w:ascii="Arial" w:hAnsi="Arial" w:cs="Arial"/>
                <w:b/>
                <w:sz w:val="22"/>
                <w:szCs w:val="22"/>
                <w:lang w:val="sr-Latn-CS"/>
              </w:rPr>
              <w:t>zelenilo uz saobraćajnicu</w:t>
            </w:r>
            <w:r w:rsidRPr="00102C34">
              <w:rPr>
                <w:rFonts w:ascii="Arial" w:hAnsi="Arial" w:cs="Arial"/>
                <w:sz w:val="22"/>
                <w:szCs w:val="22"/>
                <w:lang w:val="sr-Latn-CS"/>
              </w:rPr>
              <w:t>, zelenilo na površinama centralnih djelatnosti i mješovite namjene.</w:t>
            </w:r>
            <w:r>
              <w:t xml:space="preserve"> </w:t>
            </w:r>
            <w:r w:rsidRPr="00102C34">
              <w:rPr>
                <w:rFonts w:ascii="Arial" w:hAnsi="Arial" w:cs="Arial"/>
                <w:sz w:val="22"/>
                <w:szCs w:val="22"/>
                <w:lang w:val="sr-Latn-CS"/>
              </w:rPr>
              <w:t>Kod stvaranja novih zelenih površina potrebno je tipove zelenila birati i sastojke oblikovati tako da stvore izgled prirodnog pejzaža.</w:t>
            </w:r>
          </w:p>
        </w:tc>
      </w:tr>
      <w:tr w:rsidR="00727CDC" w:rsidRPr="007F5366" w:rsidTr="00922392">
        <w:trPr>
          <w:trHeight w:val="283"/>
          <w:jc w:val="center"/>
        </w:trPr>
        <w:tc>
          <w:tcPr>
            <w:tcW w:w="11558" w:type="dxa"/>
            <w:gridSpan w:val="5"/>
            <w:noWrap/>
            <w:vAlign w:val="center"/>
            <w:hideMark/>
          </w:tcPr>
          <w:p w:rsidR="00864B33" w:rsidRPr="007F5366" w:rsidRDefault="00864B33" w:rsidP="00D50D7A">
            <w:pPr>
              <w:tabs>
                <w:tab w:val="left" w:pos="6915"/>
              </w:tabs>
              <w:rPr>
                <w:rFonts w:ascii="Arial" w:hAnsi="Arial" w:cs="Arial"/>
                <w:sz w:val="22"/>
                <w:szCs w:val="22"/>
              </w:rPr>
            </w:pPr>
          </w:p>
        </w:tc>
      </w:tr>
      <w:tr w:rsidR="00F04485" w:rsidRPr="007F5366" w:rsidTr="00922392">
        <w:trPr>
          <w:trHeight w:val="300"/>
          <w:jc w:val="center"/>
        </w:trPr>
        <w:tc>
          <w:tcPr>
            <w:tcW w:w="1772" w:type="dxa"/>
            <w:noWrap/>
            <w:vAlign w:val="center"/>
            <w:hideMark/>
          </w:tcPr>
          <w:p w:rsidR="00727CDC" w:rsidRPr="007F5366" w:rsidRDefault="00727CDC" w:rsidP="00F5152B">
            <w:pPr>
              <w:pStyle w:val="ListParagraph"/>
              <w:numPr>
                <w:ilvl w:val="0"/>
                <w:numId w:val="1"/>
              </w:numPr>
              <w:tabs>
                <w:tab w:val="left" w:pos="6915"/>
              </w:tabs>
              <w:rPr>
                <w:rFonts w:ascii="Arial" w:hAnsi="Arial" w:cs="Arial"/>
                <w:sz w:val="22"/>
                <w:szCs w:val="22"/>
              </w:rPr>
            </w:pPr>
            <w:r w:rsidRPr="007F5366">
              <w:rPr>
                <w:rFonts w:ascii="Arial" w:hAnsi="Arial" w:cs="Arial"/>
                <w:sz w:val="22"/>
                <w:szCs w:val="22"/>
              </w:rPr>
              <w:t>.</w:t>
            </w:r>
          </w:p>
        </w:tc>
        <w:tc>
          <w:tcPr>
            <w:tcW w:w="9786" w:type="dxa"/>
            <w:gridSpan w:val="4"/>
            <w:noWrap/>
            <w:vAlign w:val="center"/>
            <w:hideMark/>
          </w:tcPr>
          <w:p w:rsidR="00727CDC" w:rsidRPr="007F5366" w:rsidRDefault="00727CDC" w:rsidP="005053D0">
            <w:pPr>
              <w:tabs>
                <w:tab w:val="left" w:pos="6915"/>
              </w:tabs>
              <w:rPr>
                <w:rFonts w:ascii="Arial" w:hAnsi="Arial" w:cs="Arial"/>
                <w:b/>
                <w:bCs/>
                <w:sz w:val="22"/>
                <w:szCs w:val="22"/>
              </w:rPr>
            </w:pPr>
            <w:r w:rsidRPr="007F5366">
              <w:rPr>
                <w:rFonts w:ascii="Arial" w:hAnsi="Arial" w:cs="Arial"/>
                <w:b/>
                <w:bCs/>
                <w:sz w:val="22"/>
                <w:szCs w:val="22"/>
              </w:rPr>
              <w:t>USLOVI I MJERE ZAŠTITE NEPOKRETNIH KULTURNIH DOBARA I NJIHOVE ZAŠTIĆENE OKOLINE</w:t>
            </w:r>
          </w:p>
        </w:tc>
      </w:tr>
      <w:tr w:rsidR="00F04485" w:rsidRPr="007F5366" w:rsidTr="00922392">
        <w:trPr>
          <w:trHeight w:val="278"/>
          <w:jc w:val="center"/>
        </w:trPr>
        <w:tc>
          <w:tcPr>
            <w:tcW w:w="1772" w:type="dxa"/>
            <w:noWrap/>
            <w:vAlign w:val="center"/>
            <w:hideMark/>
          </w:tcPr>
          <w:p w:rsidR="00727CDC" w:rsidRPr="007F5366" w:rsidRDefault="00727CDC" w:rsidP="005053D0">
            <w:pPr>
              <w:pStyle w:val="ListParagraph"/>
              <w:tabs>
                <w:tab w:val="left" w:pos="6915"/>
              </w:tabs>
              <w:rPr>
                <w:rFonts w:ascii="Arial" w:hAnsi="Arial" w:cs="Arial"/>
                <w:sz w:val="22"/>
                <w:szCs w:val="22"/>
              </w:rPr>
            </w:pPr>
          </w:p>
        </w:tc>
        <w:tc>
          <w:tcPr>
            <w:tcW w:w="9786" w:type="dxa"/>
            <w:gridSpan w:val="4"/>
            <w:noWrap/>
          </w:tcPr>
          <w:p w:rsidR="00DD476D" w:rsidRPr="002052D8" w:rsidRDefault="00DD476D" w:rsidP="0078089E">
            <w:pPr>
              <w:ind w:right="-34"/>
              <w:jc w:val="both"/>
              <w:rPr>
                <w:rFonts w:ascii="Arial" w:hAnsi="Arial" w:cs="Arial"/>
                <w:sz w:val="22"/>
                <w:szCs w:val="22"/>
                <w:lang w:val="sr-Latn-CS"/>
              </w:rPr>
            </w:pPr>
          </w:p>
          <w:p w:rsidR="00E73943" w:rsidRPr="002052D8" w:rsidRDefault="00E73943" w:rsidP="00E73943">
            <w:pPr>
              <w:rPr>
                <w:rFonts w:ascii="Arial" w:eastAsia="Times New Roman" w:hAnsi="Arial" w:cs="Arial"/>
                <w:b/>
                <w:sz w:val="22"/>
                <w:szCs w:val="22"/>
                <w:lang w:val="pl-PL"/>
              </w:rPr>
            </w:pPr>
            <w:r w:rsidRPr="002052D8">
              <w:rPr>
                <w:rFonts w:ascii="Arial" w:eastAsia="Times New Roman" w:hAnsi="Arial" w:cs="Arial"/>
                <w:b/>
                <w:sz w:val="22"/>
                <w:szCs w:val="22"/>
                <w:lang w:val="pl-PL"/>
              </w:rPr>
              <w:t>Mjere zaštite priprodne baštine</w:t>
            </w:r>
          </w:p>
          <w:p w:rsidR="00E73943" w:rsidRPr="002052D8" w:rsidRDefault="00E73943" w:rsidP="00E73943">
            <w:pPr>
              <w:rPr>
                <w:rFonts w:ascii="Arial" w:eastAsia="Times New Roman" w:hAnsi="Arial" w:cs="Arial"/>
                <w:sz w:val="22"/>
                <w:szCs w:val="22"/>
                <w:lang w:val="pl-PL"/>
              </w:rPr>
            </w:pPr>
            <w:r w:rsidRPr="002052D8">
              <w:rPr>
                <w:rFonts w:ascii="Arial" w:eastAsia="Times New Roman" w:hAnsi="Arial" w:cs="Arial"/>
                <w:sz w:val="22"/>
                <w:szCs w:val="22"/>
                <w:lang w:val="pl-PL"/>
              </w:rPr>
              <w:t>Temeljni motivi zaštite prirode nalaze se u očuvanju i unapredjenju obilježja, specifičnosti i kvaliteta kao i u racionalnom korišćenju prirode uopšte, s ciljem održavanja prirodne ravnoteže i ekološkog stabiliteta. Iz ovakvog koncepta proizlaze temeljni zadaci i postavke:</w:t>
            </w:r>
          </w:p>
          <w:p w:rsidR="00E73943" w:rsidRPr="002052D8" w:rsidRDefault="00E73943" w:rsidP="00E73943">
            <w:pPr>
              <w:rPr>
                <w:rFonts w:ascii="Arial" w:eastAsia="Times New Roman" w:hAnsi="Arial" w:cs="Arial"/>
                <w:sz w:val="22"/>
                <w:szCs w:val="22"/>
                <w:lang w:val="pl-PL"/>
              </w:rPr>
            </w:pPr>
            <w:r w:rsidRPr="002052D8">
              <w:rPr>
                <w:rFonts w:ascii="Arial" w:eastAsia="Times New Roman" w:hAnsi="Arial" w:cs="Arial"/>
                <w:sz w:val="22"/>
                <w:szCs w:val="22"/>
                <w:lang w:val="pl-PL"/>
              </w:rPr>
              <w:t>-</w:t>
            </w:r>
            <w:r w:rsidRPr="002052D8">
              <w:rPr>
                <w:rFonts w:ascii="Arial" w:eastAsia="Times New Roman" w:hAnsi="Arial" w:cs="Arial"/>
                <w:sz w:val="22"/>
                <w:szCs w:val="22"/>
                <w:lang w:val="pl-PL"/>
              </w:rPr>
              <w:tab/>
              <w:t>zaštita i unapredjenje biljnog pokrova kao elementa biološke ravnoteže pejzaža i turističko-rekreacionih vrijednosti kraja (osobito značajno za priobalnu zonu);</w:t>
            </w:r>
          </w:p>
          <w:p w:rsidR="00E73943" w:rsidRPr="002052D8" w:rsidRDefault="00E73943" w:rsidP="00E73943">
            <w:pPr>
              <w:rPr>
                <w:rFonts w:ascii="Arial" w:eastAsia="Times New Roman" w:hAnsi="Arial" w:cs="Arial"/>
                <w:sz w:val="22"/>
                <w:szCs w:val="22"/>
                <w:lang w:val="pl-PL"/>
              </w:rPr>
            </w:pPr>
            <w:r w:rsidRPr="002052D8">
              <w:rPr>
                <w:rFonts w:ascii="Arial" w:eastAsia="Times New Roman" w:hAnsi="Arial" w:cs="Arial"/>
                <w:sz w:val="22"/>
                <w:szCs w:val="22"/>
                <w:lang w:val="pl-PL"/>
              </w:rPr>
              <w:t>-</w:t>
            </w:r>
            <w:r w:rsidRPr="002052D8">
              <w:rPr>
                <w:rFonts w:ascii="Arial" w:eastAsia="Times New Roman" w:hAnsi="Arial" w:cs="Arial"/>
                <w:sz w:val="22"/>
                <w:szCs w:val="22"/>
                <w:lang w:val="pl-PL"/>
              </w:rPr>
              <w:tab/>
              <w:t>racionalno korišćenje obalnog pojasa, posebno u odnosu na turističku izgradnju i mogućnosti koriščenja dubine prostora;</w:t>
            </w:r>
          </w:p>
          <w:p w:rsidR="00E73943" w:rsidRPr="002052D8" w:rsidRDefault="00E73943" w:rsidP="00E73943">
            <w:pPr>
              <w:rPr>
                <w:rFonts w:ascii="Arial" w:eastAsia="Times New Roman" w:hAnsi="Arial" w:cs="Arial"/>
                <w:sz w:val="22"/>
                <w:szCs w:val="22"/>
                <w:lang w:val="pl-PL"/>
              </w:rPr>
            </w:pPr>
            <w:r w:rsidRPr="002052D8">
              <w:rPr>
                <w:rFonts w:ascii="Arial" w:eastAsia="Times New Roman" w:hAnsi="Arial" w:cs="Arial"/>
                <w:sz w:val="22"/>
                <w:szCs w:val="22"/>
                <w:lang w:val="pl-PL"/>
              </w:rPr>
              <w:t>-</w:t>
            </w:r>
            <w:r w:rsidRPr="002052D8">
              <w:rPr>
                <w:rFonts w:ascii="Arial" w:eastAsia="Times New Roman" w:hAnsi="Arial" w:cs="Arial"/>
                <w:sz w:val="22"/>
                <w:szCs w:val="22"/>
                <w:lang w:val="pl-PL"/>
              </w:rPr>
              <w:tab/>
              <w:t>zaštita poljoprivrednih i ostalih slobodnih površina, kao jedan od ekoloških temelja kompleksnog definisanja namjene površina;</w:t>
            </w:r>
          </w:p>
          <w:p w:rsidR="00E73943" w:rsidRPr="002052D8" w:rsidRDefault="00E73943" w:rsidP="00E73943">
            <w:pPr>
              <w:rPr>
                <w:rFonts w:ascii="Arial" w:eastAsia="Times New Roman" w:hAnsi="Arial" w:cs="Arial"/>
                <w:sz w:val="22"/>
                <w:szCs w:val="22"/>
                <w:lang w:val="pl-PL"/>
              </w:rPr>
            </w:pPr>
            <w:r w:rsidRPr="002052D8">
              <w:rPr>
                <w:rFonts w:ascii="Arial" w:eastAsia="Times New Roman" w:hAnsi="Arial" w:cs="Arial"/>
                <w:sz w:val="22"/>
                <w:szCs w:val="22"/>
                <w:lang w:val="pl-PL"/>
              </w:rPr>
              <w:t>-</w:t>
            </w:r>
            <w:r w:rsidRPr="002052D8">
              <w:rPr>
                <w:rFonts w:ascii="Arial" w:eastAsia="Times New Roman" w:hAnsi="Arial" w:cs="Arial"/>
                <w:sz w:val="22"/>
                <w:szCs w:val="22"/>
                <w:lang w:val="pl-PL"/>
              </w:rPr>
              <w:tab/>
              <w:t>izrada smjernica za zaštitu, unapredjenje i korišćenje zaštićenih i evidentiranih objekata prirode.</w:t>
            </w:r>
          </w:p>
          <w:p w:rsidR="00E73943" w:rsidRPr="002052D8" w:rsidRDefault="00E73943" w:rsidP="00E73943">
            <w:pPr>
              <w:rPr>
                <w:rFonts w:ascii="Arial" w:eastAsia="Times New Roman" w:hAnsi="Arial" w:cs="Arial"/>
                <w:sz w:val="22"/>
                <w:szCs w:val="22"/>
                <w:lang w:val="pl-PL"/>
              </w:rPr>
            </w:pPr>
          </w:p>
          <w:p w:rsidR="00E73943" w:rsidRPr="002052D8" w:rsidRDefault="00E73943" w:rsidP="00E73943">
            <w:pPr>
              <w:rPr>
                <w:rFonts w:ascii="Arial" w:eastAsia="Times New Roman" w:hAnsi="Arial" w:cs="Arial"/>
                <w:sz w:val="22"/>
                <w:szCs w:val="22"/>
                <w:lang w:val="pl-PL"/>
              </w:rPr>
            </w:pPr>
            <w:r w:rsidRPr="002052D8">
              <w:rPr>
                <w:rFonts w:ascii="Arial" w:eastAsia="Times New Roman" w:hAnsi="Arial" w:cs="Arial"/>
                <w:sz w:val="22"/>
                <w:szCs w:val="22"/>
                <w:lang w:val="pl-PL"/>
              </w:rPr>
              <w:t>Zaštita prirodne baštine bitna je komponenta prirodne osnove, planskih koncepcija i postavki u svim dijelovima Plana. Iz tog razloga, ne smije se dozvoliti ugrožavanje prirodnih vrijednosti tako da je PUP-om definisana zaštita osnovnih vrijednosti objekata prirode.</w:t>
            </w:r>
          </w:p>
          <w:p w:rsidR="00E73943" w:rsidRPr="002052D8" w:rsidRDefault="00E73943" w:rsidP="00E73943">
            <w:pPr>
              <w:rPr>
                <w:rFonts w:ascii="Arial" w:eastAsia="Times New Roman" w:hAnsi="Arial" w:cs="Arial"/>
                <w:sz w:val="22"/>
                <w:szCs w:val="22"/>
                <w:lang w:val="pl-PL"/>
              </w:rPr>
            </w:pPr>
            <w:r w:rsidRPr="002052D8">
              <w:rPr>
                <w:rFonts w:ascii="Arial" w:eastAsia="Times New Roman" w:hAnsi="Arial" w:cs="Arial"/>
                <w:sz w:val="22"/>
                <w:szCs w:val="22"/>
                <w:lang w:val="pl-PL"/>
              </w:rPr>
              <w:t>U široj zoni Opštine Tivat nalaze se sledeći zaštićeni objekti (zaštićeni po osnovu matičnog Zakona o zaštiti prirode – 'Sl. List SRCG' BR. 36/77, 39/77,2/89, 29/89, 39/89, 48/91, 17/92, 27/94 i propisa donešenih na osnovu njega, kao i opštinskih propisa, posebno Odluke o komunalnom redu – 'Sl. List SRCG' br. 43/06):</w:t>
            </w:r>
          </w:p>
          <w:p w:rsidR="00E73943" w:rsidRPr="002052D8" w:rsidRDefault="00E73943" w:rsidP="00E73943">
            <w:pPr>
              <w:rPr>
                <w:rFonts w:ascii="Arial" w:eastAsia="Times New Roman" w:hAnsi="Arial" w:cs="Arial"/>
                <w:sz w:val="22"/>
                <w:szCs w:val="22"/>
                <w:lang w:val="pl-PL"/>
              </w:rPr>
            </w:pPr>
            <w:r w:rsidRPr="002052D8">
              <w:rPr>
                <w:rFonts w:ascii="Arial" w:eastAsia="Times New Roman" w:hAnsi="Arial" w:cs="Arial"/>
                <w:sz w:val="22"/>
                <w:szCs w:val="22"/>
                <w:lang w:val="pl-PL"/>
              </w:rPr>
              <w:t>-</w:t>
            </w:r>
            <w:r w:rsidRPr="002052D8">
              <w:rPr>
                <w:rFonts w:ascii="Arial" w:eastAsia="Times New Roman" w:hAnsi="Arial" w:cs="Arial"/>
                <w:sz w:val="22"/>
                <w:szCs w:val="22"/>
                <w:lang w:val="pl-PL"/>
              </w:rPr>
              <w:tab/>
              <w:t>Gradski park – čije su detaljne granice tokom 2007 – 2008 korigovane kroz saradnju između Opštine Tivat i Zavoda za zaštitu prirode. Ovo područje se nalazi pod zaštitom kao spomenik prirode.</w:t>
            </w:r>
          </w:p>
          <w:p w:rsidR="00E73943" w:rsidRPr="002052D8" w:rsidRDefault="00E73943" w:rsidP="00E73943">
            <w:pPr>
              <w:rPr>
                <w:rFonts w:ascii="Arial" w:eastAsia="Times New Roman" w:hAnsi="Arial" w:cs="Arial"/>
                <w:sz w:val="22"/>
                <w:szCs w:val="22"/>
                <w:lang w:val="pl-PL"/>
              </w:rPr>
            </w:pPr>
            <w:r w:rsidRPr="002052D8">
              <w:rPr>
                <w:rFonts w:ascii="Arial" w:eastAsia="Times New Roman" w:hAnsi="Arial" w:cs="Arial"/>
                <w:sz w:val="22"/>
                <w:szCs w:val="22"/>
                <w:lang w:val="pl-PL"/>
              </w:rPr>
              <w:t>-</w:t>
            </w:r>
            <w:r w:rsidRPr="002052D8">
              <w:rPr>
                <w:rFonts w:ascii="Arial" w:eastAsia="Times New Roman" w:hAnsi="Arial" w:cs="Arial"/>
                <w:sz w:val="22"/>
                <w:szCs w:val="22"/>
                <w:lang w:val="pl-PL"/>
              </w:rPr>
              <w:tab/>
              <w:t>Plaža 'Pržno' u zalivu Trašte zaštićena je kao spomenik prirode.</w:t>
            </w:r>
          </w:p>
          <w:p w:rsidR="00E73943" w:rsidRPr="002052D8" w:rsidRDefault="00E73943" w:rsidP="00E73943">
            <w:pPr>
              <w:rPr>
                <w:rFonts w:ascii="Arial" w:eastAsia="Times New Roman" w:hAnsi="Arial" w:cs="Arial"/>
                <w:sz w:val="22"/>
                <w:szCs w:val="22"/>
                <w:lang w:val="pl-PL"/>
              </w:rPr>
            </w:pPr>
            <w:r w:rsidRPr="002052D8">
              <w:rPr>
                <w:rFonts w:ascii="Arial" w:eastAsia="Times New Roman" w:hAnsi="Arial" w:cs="Arial"/>
                <w:sz w:val="22"/>
                <w:szCs w:val="22"/>
                <w:lang w:val="pl-PL"/>
              </w:rPr>
              <w:t>-</w:t>
            </w:r>
            <w:r w:rsidRPr="002052D8">
              <w:rPr>
                <w:rFonts w:ascii="Arial" w:eastAsia="Times New Roman" w:hAnsi="Arial" w:cs="Arial"/>
                <w:sz w:val="22"/>
                <w:szCs w:val="22"/>
                <w:lang w:val="pl-PL"/>
              </w:rPr>
              <w:tab/>
              <w:t>Tivatska solila stavljena su pod zaštitu kao specijalni rezervat prirode (botanički i ornitološki rezervat).</w:t>
            </w:r>
          </w:p>
          <w:p w:rsidR="00E73943" w:rsidRPr="002052D8" w:rsidRDefault="00E73943" w:rsidP="00E73943">
            <w:pPr>
              <w:rPr>
                <w:rFonts w:ascii="Arial" w:eastAsia="Times New Roman" w:hAnsi="Arial" w:cs="Arial"/>
                <w:sz w:val="22"/>
                <w:szCs w:val="22"/>
                <w:lang w:val="pl-PL"/>
              </w:rPr>
            </w:pPr>
            <w:r w:rsidRPr="002052D8">
              <w:rPr>
                <w:rFonts w:ascii="Arial" w:eastAsia="Times New Roman" w:hAnsi="Arial" w:cs="Arial"/>
                <w:sz w:val="22"/>
                <w:szCs w:val="22"/>
                <w:lang w:val="pl-PL"/>
              </w:rPr>
              <w:t>-</w:t>
            </w:r>
            <w:r w:rsidRPr="002052D8">
              <w:rPr>
                <w:rFonts w:ascii="Arial" w:eastAsia="Times New Roman" w:hAnsi="Arial" w:cs="Arial"/>
                <w:sz w:val="22"/>
                <w:szCs w:val="22"/>
                <w:lang w:val="pl-PL"/>
              </w:rPr>
              <w:tab/>
              <w:t>Grupacije stabala zaštićene opštinskom Odlukom o komunalnom redu na sledećim lokacijama: palme duž rive u Donjoj Lastvi i na Pinama; grupacija borova na Župi i ispred stare škole u Tivtu; park na Trgu ratne mornarice, park 'Ivovića' u Donjoj Lastvi i park ispred hotela 'Mimoza'; park ljetnje pozornice; park na uglu Ulice II dalmatinske i 21. novembra; rogač na rivi u Donjoj Lastvi i rogač na raskrsnici puta Radovići-Krašići; skupina eukaliptusa kod stare ciglane – obala Đuraševića.</w:t>
            </w:r>
          </w:p>
          <w:p w:rsidR="00E73943" w:rsidRPr="002052D8" w:rsidRDefault="00E73943" w:rsidP="00E73943">
            <w:pPr>
              <w:rPr>
                <w:rFonts w:ascii="Arial" w:eastAsia="Times New Roman" w:hAnsi="Arial" w:cs="Arial"/>
                <w:sz w:val="22"/>
                <w:szCs w:val="22"/>
                <w:lang w:val="pl-PL"/>
              </w:rPr>
            </w:pPr>
            <w:r w:rsidRPr="002052D8">
              <w:rPr>
                <w:rFonts w:ascii="Arial" w:eastAsia="Times New Roman" w:hAnsi="Arial" w:cs="Arial"/>
                <w:sz w:val="22"/>
                <w:szCs w:val="22"/>
                <w:lang w:val="pl-PL"/>
              </w:rPr>
              <w:t xml:space="preserve">PUP-om Opštine Tivat predlaže se zaštita sljedećih područja: </w:t>
            </w:r>
          </w:p>
          <w:p w:rsidR="00E73943" w:rsidRPr="002052D8" w:rsidRDefault="00E73943" w:rsidP="00E73943">
            <w:pPr>
              <w:rPr>
                <w:rFonts w:ascii="Arial" w:eastAsia="Times New Roman" w:hAnsi="Arial" w:cs="Arial"/>
                <w:sz w:val="22"/>
                <w:szCs w:val="22"/>
                <w:lang w:val="pl-PL"/>
              </w:rPr>
            </w:pPr>
            <w:r w:rsidRPr="002052D8">
              <w:rPr>
                <w:rFonts w:ascii="Arial" w:eastAsia="Times New Roman" w:hAnsi="Arial" w:cs="Arial"/>
                <w:sz w:val="22"/>
                <w:szCs w:val="22"/>
                <w:lang w:val="pl-PL"/>
              </w:rPr>
              <w:t>-</w:t>
            </w:r>
            <w:r w:rsidRPr="002052D8">
              <w:rPr>
                <w:rFonts w:ascii="Arial" w:eastAsia="Times New Roman" w:hAnsi="Arial" w:cs="Arial"/>
                <w:sz w:val="22"/>
                <w:szCs w:val="22"/>
                <w:lang w:val="pl-PL"/>
              </w:rPr>
              <w:tab/>
              <w:t>Padine Vrmca kao parka prirode Prostornim planom Crne Gore (2008) planirano je proširenje UNESCO-vog područja 'Prirodno i kulturno – istorijsko područje Kotora' na južne padine Vrmca (Opština Tivat). Obilježja prirode i kulturno-istorijske baštine na južnim padinama Vrmca identična sa onim zaštićenim u sklopu svjetske baštine na sjevernim padinama poluostrva  Vrmac (Opština Kotor), što podupire prijedlog PUPa o zaštiti tog područja.</w:t>
            </w:r>
          </w:p>
          <w:p w:rsidR="00E73943" w:rsidRPr="002052D8" w:rsidRDefault="00E73943" w:rsidP="00E73943">
            <w:pPr>
              <w:jc w:val="both"/>
              <w:rPr>
                <w:rFonts w:ascii="Arial" w:eastAsia="Times New Roman" w:hAnsi="Arial" w:cs="Arial"/>
                <w:sz w:val="22"/>
                <w:szCs w:val="22"/>
                <w:lang w:val="pl-PL"/>
              </w:rPr>
            </w:pPr>
            <w:r w:rsidRPr="002052D8">
              <w:rPr>
                <w:rFonts w:ascii="Arial" w:eastAsia="Times New Roman" w:hAnsi="Arial" w:cs="Arial"/>
                <w:sz w:val="22"/>
                <w:szCs w:val="22"/>
                <w:lang w:val="pl-PL"/>
              </w:rPr>
              <w:t>-</w:t>
            </w:r>
            <w:r w:rsidRPr="002052D8">
              <w:rPr>
                <w:rFonts w:ascii="Arial" w:eastAsia="Times New Roman" w:hAnsi="Arial" w:cs="Arial"/>
                <w:sz w:val="22"/>
                <w:szCs w:val="22"/>
                <w:lang w:val="pl-PL"/>
              </w:rPr>
              <w:tab/>
              <w:t>Stjenovita obala zaliva zaliva Trašte kao spomenik prirode.</w:t>
            </w:r>
          </w:p>
          <w:p w:rsidR="00E73943" w:rsidRPr="002052D8" w:rsidRDefault="00E73943" w:rsidP="00E73943">
            <w:pPr>
              <w:jc w:val="both"/>
              <w:rPr>
                <w:rFonts w:ascii="Arial" w:eastAsia="Times New Roman" w:hAnsi="Arial" w:cs="Arial"/>
                <w:b/>
                <w:sz w:val="22"/>
                <w:szCs w:val="22"/>
                <w:lang w:val="pl-PL"/>
              </w:rPr>
            </w:pPr>
          </w:p>
          <w:p w:rsidR="00E73943" w:rsidRPr="002052D8" w:rsidRDefault="00E73943" w:rsidP="00E73943">
            <w:pPr>
              <w:jc w:val="both"/>
              <w:rPr>
                <w:rFonts w:ascii="Arial" w:eastAsia="Times New Roman" w:hAnsi="Arial" w:cs="Arial"/>
                <w:b/>
                <w:sz w:val="22"/>
                <w:szCs w:val="22"/>
                <w:lang w:val="pl-PL"/>
              </w:rPr>
            </w:pPr>
            <w:r w:rsidRPr="002052D8">
              <w:rPr>
                <w:rFonts w:ascii="Arial" w:eastAsia="Times New Roman" w:hAnsi="Arial" w:cs="Arial"/>
                <w:b/>
                <w:sz w:val="22"/>
                <w:szCs w:val="22"/>
                <w:lang w:val="pl-PL"/>
              </w:rPr>
              <w:t>Mjere zaštite kulturne baštine</w:t>
            </w:r>
          </w:p>
          <w:p w:rsidR="00E73943" w:rsidRPr="002052D8" w:rsidRDefault="00E73943" w:rsidP="00E73943">
            <w:pPr>
              <w:jc w:val="both"/>
              <w:rPr>
                <w:rFonts w:ascii="Arial" w:eastAsia="Times New Roman" w:hAnsi="Arial" w:cs="Arial"/>
                <w:sz w:val="22"/>
                <w:szCs w:val="22"/>
                <w:lang w:val="pl-PL"/>
              </w:rPr>
            </w:pPr>
            <w:r w:rsidRPr="002052D8">
              <w:rPr>
                <w:rFonts w:ascii="Arial" w:eastAsia="Times New Roman" w:hAnsi="Arial" w:cs="Arial"/>
                <w:sz w:val="22"/>
                <w:szCs w:val="22"/>
                <w:lang w:val="pl-PL"/>
              </w:rPr>
              <w:t xml:space="preserve">Na području Opštine Tivat postoje brojni materijalni dokazi o milenijumima dugom razvoju civilizacije: od ilirskih tumula preko rimskih građevina, manjih vojnih utvrđenja i ville rustice, manastira Benediktanaca, centra zetske episkopije, do manjih seoskih naselja i utvrđenih dvorca za vrijeme vladavine Mlečana.   </w:t>
            </w:r>
          </w:p>
          <w:p w:rsidR="00E73943" w:rsidRPr="002052D8" w:rsidRDefault="00E73943" w:rsidP="00E73943">
            <w:pPr>
              <w:jc w:val="both"/>
              <w:rPr>
                <w:rFonts w:ascii="Arial" w:eastAsia="Times New Roman" w:hAnsi="Arial" w:cs="Arial"/>
                <w:sz w:val="22"/>
                <w:szCs w:val="22"/>
                <w:lang w:val="pl-PL"/>
              </w:rPr>
            </w:pPr>
          </w:p>
          <w:p w:rsidR="00E73943" w:rsidRPr="002052D8" w:rsidRDefault="00E73943" w:rsidP="00E73943">
            <w:pPr>
              <w:jc w:val="both"/>
              <w:rPr>
                <w:rFonts w:ascii="Arial" w:eastAsia="Times New Roman" w:hAnsi="Arial" w:cs="Arial"/>
                <w:sz w:val="22"/>
                <w:szCs w:val="22"/>
                <w:lang w:val="pl-PL"/>
              </w:rPr>
            </w:pPr>
            <w:r w:rsidRPr="002052D8">
              <w:rPr>
                <w:rFonts w:ascii="Arial" w:eastAsia="Times New Roman" w:hAnsi="Arial" w:cs="Arial"/>
                <w:sz w:val="22"/>
                <w:szCs w:val="22"/>
                <w:lang w:val="pl-PL"/>
              </w:rPr>
              <w:t xml:space="preserve">Graditeljsko nasljeđe je zaštićeno i identifikovano sljedećim dokumentima: </w:t>
            </w:r>
          </w:p>
          <w:p w:rsidR="00E73943" w:rsidRPr="002052D8" w:rsidRDefault="00E73943" w:rsidP="00E73943">
            <w:pPr>
              <w:jc w:val="both"/>
              <w:rPr>
                <w:rFonts w:ascii="Arial" w:eastAsia="Times New Roman" w:hAnsi="Arial" w:cs="Arial"/>
                <w:sz w:val="22"/>
                <w:szCs w:val="22"/>
                <w:lang w:val="pl-PL"/>
              </w:rPr>
            </w:pPr>
            <w:r w:rsidRPr="002052D8">
              <w:rPr>
                <w:rFonts w:ascii="Arial" w:eastAsia="Times New Roman" w:hAnsi="Arial" w:cs="Arial"/>
                <w:sz w:val="22"/>
                <w:szCs w:val="22"/>
                <w:lang w:val="pl-PL"/>
              </w:rPr>
              <w:t>-</w:t>
            </w:r>
            <w:r w:rsidRPr="002052D8">
              <w:rPr>
                <w:rFonts w:ascii="Arial" w:eastAsia="Times New Roman" w:hAnsi="Arial" w:cs="Arial"/>
                <w:sz w:val="22"/>
                <w:szCs w:val="22"/>
                <w:lang w:val="pl-PL"/>
              </w:rPr>
              <w:tab/>
              <w:t>Sl. list SR Crne Gore, br. 16/77</w:t>
            </w:r>
          </w:p>
          <w:p w:rsidR="00E73943" w:rsidRPr="002052D8" w:rsidRDefault="00E73943" w:rsidP="00E73943">
            <w:pPr>
              <w:jc w:val="both"/>
              <w:rPr>
                <w:rFonts w:ascii="Arial" w:eastAsia="Times New Roman" w:hAnsi="Arial" w:cs="Arial"/>
                <w:sz w:val="22"/>
                <w:szCs w:val="22"/>
                <w:lang w:val="pl-PL"/>
              </w:rPr>
            </w:pPr>
            <w:r w:rsidRPr="002052D8">
              <w:rPr>
                <w:rFonts w:ascii="Arial" w:eastAsia="Times New Roman" w:hAnsi="Arial" w:cs="Arial"/>
                <w:sz w:val="22"/>
                <w:szCs w:val="22"/>
                <w:lang w:val="pl-PL"/>
              </w:rPr>
              <w:t>-</w:t>
            </w:r>
            <w:r w:rsidRPr="002052D8">
              <w:rPr>
                <w:rFonts w:ascii="Arial" w:eastAsia="Times New Roman" w:hAnsi="Arial" w:cs="Arial"/>
                <w:sz w:val="22"/>
                <w:szCs w:val="22"/>
                <w:lang w:val="pl-PL"/>
              </w:rPr>
              <w:tab/>
              <w:t>Izvještaj o stanju kulturne baštine u Crnoj Gori iz 2005. godine</w:t>
            </w:r>
          </w:p>
          <w:p w:rsidR="00E73943" w:rsidRPr="002052D8" w:rsidRDefault="00E73943" w:rsidP="00E73943">
            <w:pPr>
              <w:jc w:val="both"/>
              <w:rPr>
                <w:rFonts w:ascii="Arial" w:eastAsia="Times New Roman" w:hAnsi="Arial" w:cs="Arial"/>
                <w:sz w:val="22"/>
                <w:szCs w:val="22"/>
                <w:lang w:val="pl-PL"/>
              </w:rPr>
            </w:pPr>
            <w:r w:rsidRPr="002052D8">
              <w:rPr>
                <w:rFonts w:ascii="Arial" w:eastAsia="Times New Roman" w:hAnsi="Arial" w:cs="Arial"/>
                <w:sz w:val="22"/>
                <w:szCs w:val="22"/>
                <w:lang w:val="pl-PL"/>
              </w:rPr>
              <w:t>-</w:t>
            </w:r>
            <w:r w:rsidRPr="002052D8">
              <w:rPr>
                <w:rFonts w:ascii="Arial" w:eastAsia="Times New Roman" w:hAnsi="Arial" w:cs="Arial"/>
                <w:sz w:val="22"/>
                <w:szCs w:val="22"/>
                <w:lang w:val="pl-PL"/>
              </w:rPr>
              <w:tab/>
              <w:t>Informacija o stanju kulturne baštine u Opštini Tivat iz 2007. godine.</w:t>
            </w:r>
          </w:p>
          <w:p w:rsidR="00E73943" w:rsidRPr="002052D8" w:rsidRDefault="00E73943" w:rsidP="00E73943">
            <w:pPr>
              <w:jc w:val="both"/>
              <w:rPr>
                <w:rFonts w:ascii="Arial" w:eastAsia="Times New Roman" w:hAnsi="Arial" w:cs="Arial"/>
                <w:sz w:val="22"/>
                <w:szCs w:val="22"/>
                <w:lang w:val="pl-PL"/>
              </w:rPr>
            </w:pPr>
            <w:r w:rsidRPr="002052D8">
              <w:rPr>
                <w:rFonts w:ascii="Arial" w:eastAsia="Times New Roman" w:hAnsi="Arial" w:cs="Arial"/>
                <w:sz w:val="22"/>
                <w:szCs w:val="22"/>
                <w:lang w:val="pl-PL"/>
              </w:rPr>
              <w:t>-</w:t>
            </w:r>
            <w:r w:rsidRPr="002052D8">
              <w:rPr>
                <w:rFonts w:ascii="Arial" w:eastAsia="Times New Roman" w:hAnsi="Arial" w:cs="Arial"/>
                <w:sz w:val="22"/>
                <w:szCs w:val="22"/>
                <w:lang w:val="pl-PL"/>
              </w:rPr>
              <w:tab/>
              <w:t>Arheološke zone i arheološki lokaliteti Opštine Tivat, Regionalni zavod za zaštitu spomenika kulture, Kotor, 28.05.2008.</w:t>
            </w:r>
          </w:p>
          <w:p w:rsidR="00E73943" w:rsidRPr="002052D8" w:rsidRDefault="00E73943" w:rsidP="00E73943">
            <w:pPr>
              <w:jc w:val="both"/>
              <w:rPr>
                <w:rFonts w:ascii="Arial" w:eastAsia="Times New Roman" w:hAnsi="Arial" w:cs="Arial"/>
                <w:sz w:val="22"/>
                <w:szCs w:val="22"/>
                <w:lang w:val="pl-PL"/>
              </w:rPr>
            </w:pPr>
            <w:r w:rsidRPr="002052D8">
              <w:rPr>
                <w:rFonts w:ascii="Arial" w:eastAsia="Times New Roman" w:hAnsi="Arial" w:cs="Arial"/>
                <w:sz w:val="22"/>
                <w:szCs w:val="22"/>
                <w:lang w:val="pl-PL"/>
              </w:rPr>
              <w:lastRenderedPageBreak/>
              <w:t>Na osnovu Izvještaja o stanju kulturne baštine u Crnoj Gori, kojeg je usvojila Vlada Republike Crne Gore 20.10.2005, na području Opštine Tivat nalazi se 10 nepokretnih spomenika kulture. U sljedećem registru označeni su sa znakom *. Informacija o stanju kulturne baštine u Opštini Tivat; upozorava se da nije obuhvaćen značajan dio kulturne baštine Tivta, čija spomenička svojstva treba još jednom preispitati i utvrditi spomeničku vrijednost. Zbog toga bi trebalo, po preporukama Regionalnog zavoda za zaštitu spomenika kulture Kotor, pažljivo postupati u planskoj gradnji i omogućiti arheloška istraživanja u zonama: (1) Opatovo (antički period sa nalazom dekotisanog cipusa), (2) Arsenal (mogući nalaz antičke luke), (3) Sv. Luka-Gošići (višeslojni arheološki nalaz od antike do srednjeg vijeka), (4) Sv. Marko (antički i srednjevekovni nalaz), (5) zona Brda i Prevlake (višeslojni arheološki nalaz od antike do srednjeg vijeka) i (6) zona Kavač i Gradiošnica (antički nalaz).</w:t>
            </w:r>
          </w:p>
          <w:p w:rsidR="00E73943" w:rsidRPr="002052D8" w:rsidRDefault="00E73943" w:rsidP="00E73943">
            <w:pPr>
              <w:jc w:val="both"/>
              <w:rPr>
                <w:rFonts w:ascii="Arial" w:eastAsia="Times New Roman" w:hAnsi="Arial" w:cs="Arial"/>
                <w:sz w:val="22"/>
                <w:szCs w:val="22"/>
                <w:lang w:val="pl-PL"/>
              </w:rPr>
            </w:pPr>
            <w:r w:rsidRPr="002052D8">
              <w:rPr>
                <w:rFonts w:ascii="Arial" w:eastAsia="Times New Roman" w:hAnsi="Arial" w:cs="Arial"/>
                <w:sz w:val="22"/>
                <w:szCs w:val="22"/>
                <w:lang w:val="pl-PL"/>
              </w:rPr>
              <w:t>Na prostoru Opštine Tivat nalaze se sljedeće kategorije kulturne baštine: crkvene građevine (40), profana arhitektura (19), naselja i stambene cjeline (13), arheološka nalazišta (12), fortifikaciona arhitektura, istorijska groblja i spomen obilježja istorijskim događajima i ličnostima.</w:t>
            </w:r>
          </w:p>
          <w:p w:rsidR="00E73943" w:rsidRPr="002052D8" w:rsidRDefault="00E73943" w:rsidP="00E73943">
            <w:pPr>
              <w:jc w:val="both"/>
              <w:rPr>
                <w:rFonts w:ascii="Arial" w:eastAsiaTheme="minorHAnsi" w:hAnsi="Arial" w:cs="Arial"/>
                <w:sz w:val="22"/>
                <w:szCs w:val="22"/>
                <w:lang w:val="en-US"/>
              </w:rPr>
            </w:pPr>
            <w:r w:rsidRPr="002052D8">
              <w:rPr>
                <w:rFonts w:ascii="Arial" w:eastAsiaTheme="minorHAnsi" w:hAnsi="Arial" w:cs="Arial"/>
                <w:sz w:val="22"/>
                <w:szCs w:val="22"/>
                <w:lang w:val="en-US"/>
              </w:rPr>
              <w:t>Na podučju Opštine Tivat trinaest je značajnih  naselja graditeljske baštine od kojih svako posebno predstavlja specifičnu ambijentalnu cjelinu: Lepetane, Donja Lastva, Dančulovina- Grgurevina, Bjelila-Kakrc, u priobalnom pojasu Tivatskog zaliva; Gornja Lastva, Đurđevo Brdo i Bogdašići na padinama Vrmca, te Bogišići, Đuraševići, Milovići, Kostići, Radovići i Gornji Krašići u Kartolima. Ove ambijentalne cjeline, iako neke više ili manje porušene i zapuštene, kroz svoju ruralnu strukturu i autohtoni graditeljski izraz daju specifično obilježje prostoru opštine i zato ih je potrebno posebnom planskom akcijom ne samo zaštititi, već i revitalizovati u njihovoj kompleksnoj ukupnosti.</w:t>
            </w:r>
          </w:p>
          <w:p w:rsidR="00E73943" w:rsidRPr="002052D8" w:rsidRDefault="00E73943" w:rsidP="00E73943">
            <w:pPr>
              <w:jc w:val="both"/>
              <w:rPr>
                <w:rFonts w:ascii="Arial" w:eastAsiaTheme="minorHAnsi" w:hAnsi="Arial" w:cs="Arial"/>
                <w:sz w:val="22"/>
                <w:szCs w:val="22"/>
                <w:lang w:val="en-US"/>
              </w:rPr>
            </w:pPr>
          </w:p>
          <w:p w:rsidR="00E73943" w:rsidRPr="002052D8" w:rsidRDefault="00E73943" w:rsidP="00E73943">
            <w:pPr>
              <w:jc w:val="both"/>
              <w:rPr>
                <w:rFonts w:ascii="Arial" w:eastAsiaTheme="minorHAnsi" w:hAnsi="Arial" w:cs="Arial"/>
                <w:b/>
                <w:sz w:val="22"/>
                <w:szCs w:val="22"/>
                <w:lang w:val="en-US"/>
              </w:rPr>
            </w:pPr>
            <w:r w:rsidRPr="002052D8">
              <w:rPr>
                <w:rFonts w:ascii="Arial" w:eastAsiaTheme="minorHAnsi" w:hAnsi="Arial" w:cs="Arial"/>
                <w:b/>
                <w:sz w:val="22"/>
                <w:szCs w:val="22"/>
                <w:lang w:val="en-US"/>
              </w:rPr>
              <w:t>Osnovni modaliteti zaštite</w:t>
            </w:r>
          </w:p>
          <w:p w:rsidR="00E73943" w:rsidRPr="002052D8" w:rsidRDefault="00E73943" w:rsidP="00E73943">
            <w:pPr>
              <w:jc w:val="both"/>
              <w:rPr>
                <w:rFonts w:ascii="Arial" w:eastAsiaTheme="minorHAnsi" w:hAnsi="Arial" w:cs="Arial"/>
                <w:sz w:val="22"/>
                <w:szCs w:val="22"/>
                <w:lang w:val="en-US"/>
              </w:rPr>
            </w:pPr>
            <w:r w:rsidRPr="002052D8">
              <w:rPr>
                <w:rFonts w:ascii="Arial" w:eastAsiaTheme="minorHAnsi" w:hAnsi="Arial" w:cs="Arial"/>
                <w:sz w:val="22"/>
                <w:szCs w:val="22"/>
                <w:lang w:val="en-US"/>
              </w:rPr>
              <w:t>Ovim prijedlogom utvrđuju se samo opšte odredbe i načelni stavovi zaštite graditeljske baštine. Detaljni uslovi  obrađuju se i primjenjuju kroz Detaljne urbanističke planove, Urbanističke projekte i investicione elaborate za ansamble i pojedinačne objekte.</w:t>
            </w:r>
          </w:p>
          <w:p w:rsidR="00E73943" w:rsidRPr="002052D8" w:rsidRDefault="00E73943" w:rsidP="00E73943">
            <w:pPr>
              <w:jc w:val="both"/>
              <w:rPr>
                <w:rFonts w:ascii="Arial" w:eastAsiaTheme="minorHAnsi" w:hAnsi="Arial" w:cs="Arial"/>
                <w:sz w:val="22"/>
                <w:szCs w:val="22"/>
                <w:lang w:val="en-US"/>
              </w:rPr>
            </w:pPr>
            <w:r w:rsidRPr="002052D8">
              <w:rPr>
                <w:rFonts w:ascii="Arial" w:eastAsiaTheme="minorHAnsi" w:hAnsi="Arial" w:cs="Arial"/>
                <w:sz w:val="22"/>
                <w:szCs w:val="22"/>
                <w:lang w:val="en-US"/>
              </w:rPr>
              <w:t>Za sve navedene nivoe planiranja i projektovanja obavezno se primjenjuje metodologija zaštite spomenika kulture koja je donešena Zakonom o zaštiti spomenika kulture.</w:t>
            </w:r>
          </w:p>
          <w:p w:rsidR="00E73943" w:rsidRPr="002052D8" w:rsidRDefault="00E73943" w:rsidP="00E73943">
            <w:pPr>
              <w:jc w:val="both"/>
              <w:rPr>
                <w:rFonts w:ascii="Arial" w:eastAsiaTheme="minorHAnsi" w:hAnsi="Arial" w:cs="Arial"/>
                <w:sz w:val="22"/>
                <w:szCs w:val="22"/>
                <w:lang w:val="en-US"/>
              </w:rPr>
            </w:pPr>
            <w:r w:rsidRPr="002052D8">
              <w:rPr>
                <w:rFonts w:ascii="Arial" w:eastAsiaTheme="minorHAnsi" w:hAnsi="Arial" w:cs="Arial"/>
                <w:sz w:val="22"/>
                <w:szCs w:val="22"/>
                <w:lang w:val="en-US"/>
              </w:rPr>
              <w:t>U sklopu navedene metodologoje potrebno je obraditi slijedeće:</w:t>
            </w:r>
          </w:p>
          <w:p w:rsidR="00E73943" w:rsidRPr="002052D8" w:rsidRDefault="00E73943" w:rsidP="00E73943">
            <w:pPr>
              <w:jc w:val="both"/>
              <w:rPr>
                <w:rFonts w:ascii="Arial" w:eastAsiaTheme="minorHAnsi" w:hAnsi="Arial" w:cs="Arial"/>
                <w:sz w:val="22"/>
                <w:szCs w:val="22"/>
                <w:lang w:val="en-US"/>
              </w:rPr>
            </w:pPr>
            <w:r w:rsidRPr="002052D8">
              <w:rPr>
                <w:rFonts w:ascii="Arial" w:eastAsiaTheme="minorHAnsi" w:hAnsi="Arial" w:cs="Arial"/>
                <w:sz w:val="22"/>
                <w:szCs w:val="22"/>
                <w:lang w:val="en-US"/>
              </w:rPr>
              <w:t>-</w:t>
            </w:r>
            <w:r w:rsidRPr="002052D8">
              <w:rPr>
                <w:rFonts w:ascii="Arial" w:eastAsiaTheme="minorHAnsi" w:hAnsi="Arial" w:cs="Arial"/>
                <w:sz w:val="22"/>
                <w:szCs w:val="22"/>
                <w:lang w:val="en-US"/>
              </w:rPr>
              <w:tab/>
              <w:t>dokumentaciju o postojećem stanju cjeline ili objekata,</w:t>
            </w:r>
          </w:p>
          <w:p w:rsidR="00E73943" w:rsidRPr="002052D8" w:rsidRDefault="00E73943" w:rsidP="00E73943">
            <w:pPr>
              <w:jc w:val="both"/>
              <w:rPr>
                <w:rFonts w:ascii="Arial" w:eastAsiaTheme="minorHAnsi" w:hAnsi="Arial" w:cs="Arial"/>
                <w:sz w:val="22"/>
                <w:szCs w:val="22"/>
                <w:lang w:val="en-US"/>
              </w:rPr>
            </w:pPr>
            <w:r w:rsidRPr="002052D8">
              <w:rPr>
                <w:rFonts w:ascii="Arial" w:eastAsiaTheme="minorHAnsi" w:hAnsi="Arial" w:cs="Arial"/>
                <w:sz w:val="22"/>
                <w:szCs w:val="22"/>
                <w:lang w:val="en-US"/>
              </w:rPr>
              <w:t>-</w:t>
            </w:r>
            <w:r w:rsidRPr="002052D8">
              <w:rPr>
                <w:rFonts w:ascii="Arial" w:eastAsiaTheme="minorHAnsi" w:hAnsi="Arial" w:cs="Arial"/>
                <w:sz w:val="22"/>
                <w:szCs w:val="22"/>
                <w:lang w:val="en-US"/>
              </w:rPr>
              <w:tab/>
              <w:t>istorijat sa fazama razvoja,</w:t>
            </w:r>
          </w:p>
          <w:p w:rsidR="00E73943" w:rsidRPr="002052D8" w:rsidRDefault="00E73943" w:rsidP="00E73943">
            <w:pPr>
              <w:jc w:val="both"/>
              <w:rPr>
                <w:rFonts w:ascii="Arial" w:eastAsiaTheme="minorHAnsi" w:hAnsi="Arial" w:cs="Arial"/>
                <w:sz w:val="22"/>
                <w:szCs w:val="22"/>
                <w:lang w:val="en-US"/>
              </w:rPr>
            </w:pPr>
            <w:r w:rsidRPr="002052D8">
              <w:rPr>
                <w:rFonts w:ascii="Arial" w:eastAsiaTheme="minorHAnsi" w:hAnsi="Arial" w:cs="Arial"/>
                <w:sz w:val="22"/>
                <w:szCs w:val="22"/>
                <w:lang w:val="en-US"/>
              </w:rPr>
              <w:t>-</w:t>
            </w:r>
            <w:r w:rsidRPr="002052D8">
              <w:rPr>
                <w:rFonts w:ascii="Arial" w:eastAsiaTheme="minorHAnsi" w:hAnsi="Arial" w:cs="Arial"/>
                <w:sz w:val="22"/>
                <w:szCs w:val="22"/>
                <w:lang w:val="en-US"/>
              </w:rPr>
              <w:tab/>
              <w:t>izvorni izgled i naknadne intervencije na objektu,</w:t>
            </w:r>
          </w:p>
          <w:p w:rsidR="00E73943" w:rsidRPr="002052D8" w:rsidRDefault="00E73943" w:rsidP="00E73943">
            <w:pPr>
              <w:jc w:val="both"/>
              <w:rPr>
                <w:rFonts w:ascii="Arial" w:eastAsiaTheme="minorHAnsi" w:hAnsi="Arial" w:cs="Arial"/>
                <w:sz w:val="22"/>
                <w:szCs w:val="22"/>
                <w:lang w:val="en-US"/>
              </w:rPr>
            </w:pPr>
            <w:r w:rsidRPr="002052D8">
              <w:rPr>
                <w:rFonts w:ascii="Arial" w:eastAsiaTheme="minorHAnsi" w:hAnsi="Arial" w:cs="Arial"/>
                <w:sz w:val="22"/>
                <w:szCs w:val="22"/>
                <w:lang w:val="en-US"/>
              </w:rPr>
              <w:t>-</w:t>
            </w:r>
            <w:r w:rsidRPr="002052D8">
              <w:rPr>
                <w:rFonts w:ascii="Arial" w:eastAsiaTheme="minorHAnsi" w:hAnsi="Arial" w:cs="Arial"/>
                <w:sz w:val="22"/>
                <w:szCs w:val="22"/>
                <w:lang w:val="en-US"/>
              </w:rPr>
              <w:tab/>
              <w:t>stilsko-arhitketonsku valorizaciju,</w:t>
            </w:r>
          </w:p>
          <w:p w:rsidR="00E73943" w:rsidRPr="002052D8" w:rsidRDefault="00E73943" w:rsidP="00E73943">
            <w:pPr>
              <w:jc w:val="both"/>
              <w:rPr>
                <w:rFonts w:ascii="Arial" w:eastAsiaTheme="minorHAnsi" w:hAnsi="Arial" w:cs="Arial"/>
                <w:sz w:val="22"/>
                <w:szCs w:val="22"/>
                <w:lang w:val="en-US"/>
              </w:rPr>
            </w:pPr>
            <w:r w:rsidRPr="002052D8">
              <w:rPr>
                <w:rFonts w:ascii="Arial" w:eastAsiaTheme="minorHAnsi" w:hAnsi="Arial" w:cs="Arial"/>
                <w:sz w:val="22"/>
                <w:szCs w:val="22"/>
                <w:lang w:val="en-US"/>
              </w:rPr>
              <w:t>-</w:t>
            </w:r>
            <w:r w:rsidRPr="002052D8">
              <w:rPr>
                <w:rFonts w:ascii="Arial" w:eastAsiaTheme="minorHAnsi" w:hAnsi="Arial" w:cs="Arial"/>
                <w:sz w:val="22"/>
                <w:szCs w:val="22"/>
                <w:lang w:val="en-US"/>
              </w:rPr>
              <w:tab/>
              <w:t>analizu stanja materijala i konstrukcija,</w:t>
            </w:r>
          </w:p>
          <w:p w:rsidR="00E73943" w:rsidRPr="002052D8" w:rsidRDefault="00E73943" w:rsidP="00E73943">
            <w:pPr>
              <w:jc w:val="both"/>
              <w:rPr>
                <w:rFonts w:ascii="Arial" w:eastAsiaTheme="minorHAnsi" w:hAnsi="Arial" w:cs="Arial"/>
                <w:sz w:val="22"/>
                <w:szCs w:val="22"/>
                <w:lang w:val="en-US"/>
              </w:rPr>
            </w:pPr>
            <w:r w:rsidRPr="002052D8">
              <w:rPr>
                <w:rFonts w:ascii="Arial" w:eastAsiaTheme="minorHAnsi" w:hAnsi="Arial" w:cs="Arial"/>
                <w:sz w:val="22"/>
                <w:szCs w:val="22"/>
                <w:lang w:val="en-US"/>
              </w:rPr>
              <w:t>-</w:t>
            </w:r>
            <w:r w:rsidRPr="002052D8">
              <w:rPr>
                <w:rFonts w:ascii="Arial" w:eastAsiaTheme="minorHAnsi" w:hAnsi="Arial" w:cs="Arial"/>
                <w:sz w:val="22"/>
                <w:szCs w:val="22"/>
                <w:lang w:val="en-US"/>
              </w:rPr>
              <w:tab/>
              <w:t>pojave i uzroke ugroženosti,</w:t>
            </w:r>
          </w:p>
          <w:p w:rsidR="00E73943" w:rsidRPr="002052D8" w:rsidRDefault="00E73943" w:rsidP="00E73943">
            <w:pPr>
              <w:jc w:val="both"/>
              <w:rPr>
                <w:rFonts w:ascii="Arial" w:eastAsiaTheme="minorHAnsi" w:hAnsi="Arial" w:cs="Arial"/>
                <w:sz w:val="22"/>
                <w:szCs w:val="22"/>
                <w:lang w:val="en-US"/>
              </w:rPr>
            </w:pPr>
            <w:r w:rsidRPr="002052D8">
              <w:rPr>
                <w:rFonts w:ascii="Arial" w:eastAsiaTheme="minorHAnsi" w:hAnsi="Arial" w:cs="Arial"/>
                <w:sz w:val="22"/>
                <w:szCs w:val="22"/>
                <w:lang w:val="en-US"/>
              </w:rPr>
              <w:t>-</w:t>
            </w:r>
            <w:r w:rsidRPr="002052D8">
              <w:rPr>
                <w:rFonts w:ascii="Arial" w:eastAsiaTheme="minorHAnsi" w:hAnsi="Arial" w:cs="Arial"/>
                <w:sz w:val="22"/>
                <w:szCs w:val="22"/>
                <w:lang w:val="en-US"/>
              </w:rPr>
              <w:tab/>
              <w:t>obnovu istorijske arhitekture,</w:t>
            </w:r>
          </w:p>
          <w:p w:rsidR="00E73943" w:rsidRPr="002052D8" w:rsidRDefault="00E73943" w:rsidP="00E73943">
            <w:pPr>
              <w:jc w:val="both"/>
              <w:rPr>
                <w:rFonts w:ascii="Arial" w:eastAsiaTheme="minorHAnsi" w:hAnsi="Arial" w:cs="Arial"/>
                <w:sz w:val="22"/>
                <w:szCs w:val="22"/>
                <w:lang w:val="en-US"/>
              </w:rPr>
            </w:pPr>
            <w:r w:rsidRPr="002052D8">
              <w:rPr>
                <w:rFonts w:ascii="Arial" w:eastAsiaTheme="minorHAnsi" w:hAnsi="Arial" w:cs="Arial"/>
                <w:sz w:val="22"/>
                <w:szCs w:val="22"/>
                <w:lang w:val="en-US"/>
              </w:rPr>
              <w:t>-</w:t>
            </w:r>
            <w:r w:rsidRPr="002052D8">
              <w:rPr>
                <w:rFonts w:ascii="Arial" w:eastAsiaTheme="minorHAnsi" w:hAnsi="Arial" w:cs="Arial"/>
                <w:sz w:val="22"/>
                <w:szCs w:val="22"/>
                <w:lang w:val="en-US"/>
              </w:rPr>
              <w:tab/>
              <w:t xml:space="preserve">saniranje konstrukcije, </w:t>
            </w:r>
          </w:p>
          <w:p w:rsidR="00E73943" w:rsidRPr="002052D8" w:rsidRDefault="00E73943" w:rsidP="00E73943">
            <w:pPr>
              <w:jc w:val="both"/>
              <w:rPr>
                <w:rFonts w:ascii="Arial" w:eastAsiaTheme="minorHAnsi" w:hAnsi="Arial" w:cs="Arial"/>
                <w:sz w:val="22"/>
                <w:szCs w:val="22"/>
                <w:lang w:val="en-US"/>
              </w:rPr>
            </w:pPr>
            <w:r w:rsidRPr="002052D8">
              <w:rPr>
                <w:rFonts w:ascii="Arial" w:eastAsiaTheme="minorHAnsi" w:hAnsi="Arial" w:cs="Arial"/>
                <w:sz w:val="22"/>
                <w:szCs w:val="22"/>
                <w:lang w:val="en-US"/>
              </w:rPr>
              <w:t>-</w:t>
            </w:r>
            <w:r w:rsidRPr="002052D8">
              <w:rPr>
                <w:rFonts w:ascii="Arial" w:eastAsiaTheme="minorHAnsi" w:hAnsi="Arial" w:cs="Arial"/>
                <w:sz w:val="22"/>
                <w:szCs w:val="22"/>
                <w:lang w:val="en-US"/>
              </w:rPr>
              <w:tab/>
              <w:t>rekonstrukciju i adaptaciju za savremenu namjenu.</w:t>
            </w:r>
          </w:p>
          <w:p w:rsidR="00E73943" w:rsidRPr="002052D8" w:rsidRDefault="00E73943" w:rsidP="00E73943">
            <w:pPr>
              <w:jc w:val="both"/>
              <w:rPr>
                <w:rFonts w:ascii="Arial" w:eastAsiaTheme="minorHAnsi" w:hAnsi="Arial" w:cs="Arial"/>
                <w:sz w:val="22"/>
                <w:szCs w:val="22"/>
                <w:lang w:val="en-US"/>
              </w:rPr>
            </w:pPr>
          </w:p>
          <w:p w:rsidR="00E73943" w:rsidRPr="002052D8" w:rsidRDefault="00E73943" w:rsidP="00E73943">
            <w:pPr>
              <w:jc w:val="both"/>
              <w:rPr>
                <w:rFonts w:ascii="Arial" w:eastAsiaTheme="minorHAnsi" w:hAnsi="Arial" w:cs="Arial"/>
                <w:sz w:val="22"/>
                <w:szCs w:val="22"/>
                <w:lang w:val="en-US"/>
              </w:rPr>
            </w:pPr>
            <w:r w:rsidRPr="002052D8">
              <w:rPr>
                <w:rFonts w:ascii="Arial" w:eastAsiaTheme="minorHAnsi" w:hAnsi="Arial" w:cs="Arial"/>
                <w:sz w:val="22"/>
                <w:szCs w:val="22"/>
                <w:lang w:val="en-US"/>
              </w:rPr>
              <w:t xml:space="preserve">Iscrpnost dokumentacije i izrade objekta zavisi od njegove kompleksnosti i spomeničkog značaja. Odredjuje se kroz uslove zaštite graditeljske baštine (konzervatorske uslove ) koje daje nadležna služba za zaštitu spomenika kulture. </w:t>
            </w:r>
          </w:p>
          <w:p w:rsidR="00E73943" w:rsidRPr="002052D8" w:rsidRDefault="00E73943" w:rsidP="00E73943">
            <w:pPr>
              <w:jc w:val="both"/>
              <w:rPr>
                <w:rFonts w:ascii="Arial" w:eastAsiaTheme="minorHAnsi" w:hAnsi="Arial" w:cs="Arial"/>
                <w:sz w:val="22"/>
                <w:szCs w:val="22"/>
                <w:lang w:val="en-US"/>
              </w:rPr>
            </w:pPr>
            <w:r w:rsidRPr="002052D8">
              <w:rPr>
                <w:rFonts w:ascii="Arial" w:eastAsiaTheme="minorHAnsi" w:hAnsi="Arial" w:cs="Arial"/>
                <w:sz w:val="22"/>
                <w:szCs w:val="22"/>
                <w:lang w:val="en-US"/>
              </w:rPr>
              <w:t>U savremenoj teoriji i praksi zaštite kulturnih dobara, posebno graditeljske baštine, primjenjuje se princip da se zaštitom obuhvata sveukupnost prostora (kako je prije navedeno i za zaštitu prirode).</w:t>
            </w:r>
          </w:p>
          <w:p w:rsidR="00E73943" w:rsidRPr="002052D8" w:rsidRDefault="00E73943" w:rsidP="00E73943">
            <w:pPr>
              <w:jc w:val="both"/>
              <w:rPr>
                <w:rFonts w:ascii="Arial" w:eastAsiaTheme="minorHAnsi" w:hAnsi="Arial" w:cs="Arial"/>
                <w:sz w:val="22"/>
                <w:szCs w:val="22"/>
                <w:lang w:val="en-US"/>
              </w:rPr>
            </w:pPr>
            <w:r w:rsidRPr="002052D8">
              <w:rPr>
                <w:rFonts w:ascii="Arial" w:eastAsiaTheme="minorHAnsi" w:hAnsi="Arial" w:cs="Arial"/>
                <w:sz w:val="22"/>
                <w:szCs w:val="22"/>
                <w:lang w:val="en-US"/>
              </w:rPr>
              <w:t>Kad pristupanja radovima na pojedinačnim spomenicima kulture, kao što su: sakralni objekti, objekti profanog karaktera, utvrđenja i drugi objekti kulturno-istorijskog značaja mora se osigurati učešće odgovarajućih stručnjaka kvalifikovanih za tu vrstu radova u svim fazama rada, kako u pripremno-istraživačkim, tako i u građevinsko-operativnim.</w:t>
            </w:r>
          </w:p>
          <w:p w:rsidR="000E4037" w:rsidRDefault="000E4037" w:rsidP="000E4037">
            <w:pPr>
              <w:jc w:val="both"/>
              <w:rPr>
                <w:rFonts w:ascii="Arial" w:hAnsi="Arial" w:cs="Arial"/>
                <w:b/>
                <w:sz w:val="22"/>
                <w:szCs w:val="22"/>
              </w:rPr>
            </w:pPr>
            <w:r w:rsidRPr="008946DE">
              <w:rPr>
                <w:rFonts w:ascii="Arial" w:hAnsi="Arial" w:cs="Arial"/>
                <w:b/>
                <w:sz w:val="22"/>
                <w:szCs w:val="22"/>
              </w:rPr>
              <w:t xml:space="preserve">Ovaj organ se, shodno odredbama člana </w:t>
            </w:r>
            <w:r w:rsidRPr="00127A72">
              <w:rPr>
                <w:rFonts w:ascii="Arial" w:hAnsi="Arial" w:cs="Arial"/>
                <w:b/>
                <w:sz w:val="22"/>
                <w:szCs w:val="22"/>
              </w:rPr>
              <w:t>8 Odluke o izgradnji lokalnih objekata od opšteg interesa („Sl.list CG“-opštinski propisi , broj 018/14,042/15,028/16, 007/21)</w:t>
            </w:r>
            <w:r w:rsidRPr="008946DE">
              <w:rPr>
                <w:rFonts w:ascii="Arial" w:hAnsi="Arial" w:cs="Arial"/>
                <w:b/>
                <w:sz w:val="22"/>
                <w:szCs w:val="22"/>
              </w:rPr>
              <w:t>, obr</w:t>
            </w:r>
            <w:r>
              <w:rPr>
                <w:rFonts w:ascii="Arial" w:hAnsi="Arial" w:cs="Arial"/>
                <w:b/>
                <w:sz w:val="22"/>
                <w:szCs w:val="22"/>
              </w:rPr>
              <w:t>atio zahtjevom br. 09-332/21-</w:t>
            </w:r>
            <w:r>
              <w:rPr>
                <w:rFonts w:ascii="Arial" w:hAnsi="Arial" w:cs="Arial"/>
                <w:b/>
                <w:sz w:val="22"/>
                <w:szCs w:val="22"/>
              </w:rPr>
              <w:t>216</w:t>
            </w:r>
            <w:r>
              <w:rPr>
                <w:rFonts w:ascii="Arial" w:hAnsi="Arial" w:cs="Arial"/>
                <w:b/>
                <w:sz w:val="22"/>
                <w:szCs w:val="22"/>
              </w:rPr>
              <w:t xml:space="preserve">/1 od </w:t>
            </w:r>
            <w:r>
              <w:rPr>
                <w:rFonts w:ascii="Arial" w:hAnsi="Arial" w:cs="Arial"/>
                <w:b/>
                <w:sz w:val="22"/>
                <w:szCs w:val="22"/>
              </w:rPr>
              <w:t>14</w:t>
            </w:r>
            <w:r>
              <w:rPr>
                <w:rFonts w:ascii="Arial" w:hAnsi="Arial" w:cs="Arial"/>
                <w:b/>
                <w:sz w:val="22"/>
                <w:szCs w:val="22"/>
              </w:rPr>
              <w:t>.0</w:t>
            </w:r>
            <w:r>
              <w:rPr>
                <w:rFonts w:ascii="Arial" w:hAnsi="Arial" w:cs="Arial"/>
                <w:b/>
                <w:sz w:val="22"/>
                <w:szCs w:val="22"/>
              </w:rPr>
              <w:t>4</w:t>
            </w:r>
            <w:r w:rsidRPr="008946DE">
              <w:rPr>
                <w:rFonts w:ascii="Arial" w:hAnsi="Arial" w:cs="Arial"/>
                <w:b/>
                <w:sz w:val="22"/>
                <w:szCs w:val="22"/>
              </w:rPr>
              <w:t>.202</w:t>
            </w:r>
            <w:r>
              <w:rPr>
                <w:rFonts w:ascii="Arial" w:hAnsi="Arial" w:cs="Arial"/>
                <w:b/>
                <w:sz w:val="22"/>
                <w:szCs w:val="22"/>
              </w:rPr>
              <w:t>2</w:t>
            </w:r>
            <w:r w:rsidRPr="008946DE">
              <w:rPr>
                <w:rFonts w:ascii="Arial" w:hAnsi="Arial" w:cs="Arial"/>
                <w:b/>
                <w:sz w:val="22"/>
                <w:szCs w:val="22"/>
              </w:rPr>
              <w:t>. godine Upravi za zaštitu kulturnih dobara , Područna jedinica Kotor, a radi</w:t>
            </w:r>
            <w:r>
              <w:rPr>
                <w:rFonts w:ascii="Arial" w:hAnsi="Arial" w:cs="Arial"/>
                <w:b/>
                <w:sz w:val="22"/>
                <w:szCs w:val="22"/>
              </w:rPr>
              <w:t xml:space="preserve"> dostavljanja</w:t>
            </w:r>
            <w:r w:rsidRPr="008946DE">
              <w:rPr>
                <w:rFonts w:ascii="Arial" w:hAnsi="Arial" w:cs="Arial"/>
                <w:b/>
                <w:sz w:val="22"/>
                <w:szCs w:val="22"/>
              </w:rPr>
              <w:t xml:space="preserve"> </w:t>
            </w:r>
            <w:r w:rsidRPr="00127A72">
              <w:rPr>
                <w:rFonts w:ascii="Arial" w:hAnsi="Arial" w:cs="Arial"/>
                <w:b/>
                <w:sz w:val="22"/>
                <w:szCs w:val="22"/>
              </w:rPr>
              <w:t>mišljenja institucija za koje cijeni da mogu biti od značaja za izradu programskog zadatka</w:t>
            </w:r>
            <w:r>
              <w:rPr>
                <w:rFonts w:ascii="Arial" w:hAnsi="Arial" w:cs="Arial"/>
                <w:b/>
                <w:sz w:val="22"/>
                <w:szCs w:val="22"/>
              </w:rPr>
              <w:t>.</w:t>
            </w:r>
          </w:p>
          <w:p w:rsidR="000E4037" w:rsidRDefault="000E4037" w:rsidP="000E4037">
            <w:pPr>
              <w:jc w:val="both"/>
              <w:rPr>
                <w:rFonts w:ascii="Arial" w:hAnsi="Arial" w:cs="Arial"/>
                <w:sz w:val="22"/>
                <w:szCs w:val="22"/>
                <w:lang w:val="sr-Latn-CS"/>
              </w:rPr>
            </w:pPr>
            <w:r w:rsidRPr="008946DE">
              <w:rPr>
                <w:rFonts w:ascii="Arial" w:hAnsi="Arial" w:cs="Arial"/>
                <w:b/>
                <w:sz w:val="22"/>
                <w:szCs w:val="22"/>
              </w:rPr>
              <w:t>Zah</w:t>
            </w:r>
            <w:r>
              <w:rPr>
                <w:rFonts w:ascii="Arial" w:hAnsi="Arial" w:cs="Arial"/>
                <w:b/>
                <w:sz w:val="22"/>
                <w:szCs w:val="22"/>
              </w:rPr>
              <w:t xml:space="preserve">tjev je preuzeo primalac </w:t>
            </w:r>
            <w:r w:rsidR="00B02988">
              <w:rPr>
                <w:rFonts w:ascii="Arial" w:hAnsi="Arial" w:cs="Arial"/>
                <w:b/>
                <w:sz w:val="22"/>
                <w:szCs w:val="22"/>
              </w:rPr>
              <w:t>1</w:t>
            </w:r>
            <w:r>
              <w:rPr>
                <w:rFonts w:ascii="Arial" w:hAnsi="Arial" w:cs="Arial"/>
                <w:b/>
                <w:sz w:val="22"/>
                <w:szCs w:val="22"/>
              </w:rPr>
              <w:t>5</w:t>
            </w:r>
            <w:r>
              <w:rPr>
                <w:rFonts w:ascii="Arial" w:hAnsi="Arial" w:cs="Arial"/>
                <w:b/>
                <w:sz w:val="22"/>
                <w:szCs w:val="22"/>
              </w:rPr>
              <w:t>.04.2022</w:t>
            </w:r>
            <w:r w:rsidRPr="008946DE">
              <w:rPr>
                <w:rFonts w:ascii="Arial" w:hAnsi="Arial" w:cs="Arial"/>
                <w:b/>
                <w:sz w:val="22"/>
                <w:szCs w:val="22"/>
              </w:rPr>
              <w:t xml:space="preserve">.godine o čemu svjedoči </w:t>
            </w:r>
            <w:r>
              <w:rPr>
                <w:rFonts w:ascii="Arial" w:hAnsi="Arial" w:cs="Arial"/>
                <w:b/>
                <w:sz w:val="22"/>
                <w:szCs w:val="22"/>
              </w:rPr>
              <w:t>povratnica u spisima predmeta</w:t>
            </w:r>
            <w:r w:rsidRPr="008946DE">
              <w:rPr>
                <w:rFonts w:ascii="Arial" w:hAnsi="Arial" w:cs="Arial"/>
                <w:b/>
                <w:sz w:val="22"/>
                <w:szCs w:val="22"/>
              </w:rPr>
              <w:t>, a podaci od strane Uprave za zaštitu kulturnih dobar</w:t>
            </w:r>
            <w:r>
              <w:rPr>
                <w:rFonts w:ascii="Arial" w:hAnsi="Arial" w:cs="Arial"/>
                <w:b/>
                <w:sz w:val="22"/>
                <w:szCs w:val="22"/>
              </w:rPr>
              <w:t xml:space="preserve">a nisu nam dostavljeni u </w:t>
            </w:r>
            <w:r w:rsidRPr="008946DE">
              <w:rPr>
                <w:rFonts w:ascii="Arial" w:hAnsi="Arial" w:cs="Arial"/>
                <w:b/>
                <w:sz w:val="22"/>
                <w:szCs w:val="22"/>
              </w:rPr>
              <w:t xml:space="preserve"> propisanom roku od 15 dana.</w:t>
            </w:r>
          </w:p>
          <w:p w:rsidR="00DD2FDE" w:rsidRPr="002052D8" w:rsidRDefault="00DD2FDE" w:rsidP="00DD476D">
            <w:pPr>
              <w:ind w:right="-34"/>
              <w:jc w:val="both"/>
              <w:rPr>
                <w:rFonts w:ascii="Arial" w:hAnsi="Arial" w:cs="Arial"/>
                <w:sz w:val="22"/>
                <w:szCs w:val="22"/>
                <w:lang w:val="sr-Latn-CS"/>
              </w:rPr>
            </w:pPr>
          </w:p>
          <w:p w:rsidR="00A903A0" w:rsidRPr="002052D8" w:rsidRDefault="00A903A0" w:rsidP="00DD476D">
            <w:pPr>
              <w:ind w:right="-34"/>
              <w:jc w:val="both"/>
              <w:rPr>
                <w:rFonts w:ascii="Arial" w:hAnsi="Arial" w:cs="Arial"/>
                <w:sz w:val="22"/>
                <w:szCs w:val="22"/>
                <w:lang w:val="sr-Latn-CS"/>
              </w:rPr>
            </w:pPr>
          </w:p>
        </w:tc>
      </w:tr>
      <w:tr w:rsidR="00727CDC" w:rsidRPr="007F5366" w:rsidTr="00922392">
        <w:trPr>
          <w:trHeight w:val="243"/>
          <w:jc w:val="center"/>
        </w:trPr>
        <w:tc>
          <w:tcPr>
            <w:tcW w:w="11558" w:type="dxa"/>
            <w:gridSpan w:val="5"/>
            <w:noWrap/>
            <w:vAlign w:val="center"/>
            <w:hideMark/>
          </w:tcPr>
          <w:p w:rsidR="00A55F8A" w:rsidRPr="007F5366" w:rsidRDefault="00A55F8A" w:rsidP="00652A01">
            <w:pPr>
              <w:tabs>
                <w:tab w:val="left" w:pos="6915"/>
              </w:tabs>
              <w:rPr>
                <w:rFonts w:ascii="Arial" w:hAnsi="Arial" w:cs="Arial"/>
                <w:sz w:val="22"/>
                <w:szCs w:val="22"/>
              </w:rPr>
            </w:pPr>
          </w:p>
        </w:tc>
      </w:tr>
      <w:tr w:rsidR="00F04485" w:rsidRPr="007F5366" w:rsidTr="00922392">
        <w:trPr>
          <w:trHeight w:val="300"/>
          <w:jc w:val="center"/>
        </w:trPr>
        <w:tc>
          <w:tcPr>
            <w:tcW w:w="1772" w:type="dxa"/>
            <w:noWrap/>
            <w:vAlign w:val="center"/>
            <w:hideMark/>
          </w:tcPr>
          <w:p w:rsidR="00727CDC" w:rsidRPr="007F5366" w:rsidRDefault="00727CDC" w:rsidP="00F5152B">
            <w:pPr>
              <w:pStyle w:val="ListParagraph"/>
              <w:numPr>
                <w:ilvl w:val="0"/>
                <w:numId w:val="1"/>
              </w:numPr>
              <w:tabs>
                <w:tab w:val="left" w:pos="6915"/>
              </w:tabs>
              <w:rPr>
                <w:rFonts w:ascii="Arial" w:hAnsi="Arial" w:cs="Arial"/>
                <w:sz w:val="22"/>
                <w:szCs w:val="22"/>
              </w:rPr>
            </w:pPr>
            <w:r w:rsidRPr="007F5366">
              <w:rPr>
                <w:rFonts w:ascii="Arial" w:hAnsi="Arial" w:cs="Arial"/>
                <w:sz w:val="22"/>
                <w:szCs w:val="22"/>
              </w:rPr>
              <w:t>.</w:t>
            </w:r>
          </w:p>
        </w:tc>
        <w:tc>
          <w:tcPr>
            <w:tcW w:w="9786" w:type="dxa"/>
            <w:gridSpan w:val="4"/>
            <w:noWrap/>
            <w:vAlign w:val="center"/>
            <w:hideMark/>
          </w:tcPr>
          <w:p w:rsidR="00727CDC" w:rsidRPr="007F5366" w:rsidRDefault="00727CDC" w:rsidP="005053D0">
            <w:pPr>
              <w:tabs>
                <w:tab w:val="left" w:pos="6915"/>
              </w:tabs>
              <w:rPr>
                <w:rFonts w:ascii="Arial" w:hAnsi="Arial" w:cs="Arial"/>
                <w:b/>
                <w:bCs/>
                <w:sz w:val="22"/>
                <w:szCs w:val="22"/>
              </w:rPr>
            </w:pPr>
            <w:r w:rsidRPr="007F5366">
              <w:rPr>
                <w:rFonts w:ascii="Arial" w:hAnsi="Arial" w:cs="Arial"/>
                <w:b/>
                <w:bCs/>
                <w:sz w:val="22"/>
                <w:szCs w:val="22"/>
              </w:rPr>
              <w:t>USLOV</w:t>
            </w:r>
            <w:r w:rsidR="00704035" w:rsidRPr="007F5366">
              <w:rPr>
                <w:rFonts w:ascii="Arial" w:hAnsi="Arial" w:cs="Arial"/>
                <w:b/>
                <w:bCs/>
                <w:sz w:val="22"/>
                <w:szCs w:val="22"/>
              </w:rPr>
              <w:t>I</w:t>
            </w:r>
            <w:r w:rsidRPr="007F5366">
              <w:rPr>
                <w:rFonts w:ascii="Arial" w:hAnsi="Arial" w:cs="Arial"/>
                <w:b/>
                <w:bCs/>
                <w:sz w:val="22"/>
                <w:szCs w:val="22"/>
              </w:rPr>
              <w:t xml:space="preserve"> ZA OBJEKTE KOJI MOGU UTICATI NA BEZBJEDNOST VAZDUŠNOG SAOBRAĆAJA</w:t>
            </w:r>
          </w:p>
        </w:tc>
      </w:tr>
      <w:tr w:rsidR="00652A01" w:rsidRPr="007F5366" w:rsidTr="00922392">
        <w:trPr>
          <w:trHeight w:val="300"/>
          <w:jc w:val="center"/>
        </w:trPr>
        <w:tc>
          <w:tcPr>
            <w:tcW w:w="1772" w:type="dxa"/>
            <w:noWrap/>
            <w:vAlign w:val="center"/>
          </w:tcPr>
          <w:p w:rsidR="00652A01" w:rsidRPr="007F5366" w:rsidRDefault="00652A01" w:rsidP="00652A01">
            <w:pPr>
              <w:tabs>
                <w:tab w:val="left" w:pos="6915"/>
              </w:tabs>
              <w:rPr>
                <w:rFonts w:ascii="Arial" w:hAnsi="Arial" w:cs="Arial"/>
                <w:sz w:val="22"/>
                <w:szCs w:val="22"/>
              </w:rPr>
            </w:pPr>
          </w:p>
        </w:tc>
        <w:tc>
          <w:tcPr>
            <w:tcW w:w="9786" w:type="dxa"/>
            <w:gridSpan w:val="4"/>
            <w:noWrap/>
            <w:vAlign w:val="center"/>
          </w:tcPr>
          <w:p w:rsidR="00A903A0" w:rsidRPr="007F5366" w:rsidRDefault="00A903A0" w:rsidP="00652A01">
            <w:pPr>
              <w:jc w:val="both"/>
              <w:rPr>
                <w:rFonts w:ascii="Arial" w:hAnsi="Arial" w:cs="Arial"/>
                <w:b/>
                <w:sz w:val="22"/>
                <w:szCs w:val="22"/>
              </w:rPr>
            </w:pPr>
          </w:p>
          <w:p w:rsidR="00E73943" w:rsidRPr="002052D8" w:rsidRDefault="00E73943" w:rsidP="00E73943">
            <w:pPr>
              <w:jc w:val="both"/>
              <w:rPr>
                <w:rFonts w:ascii="Arial" w:eastAsiaTheme="minorHAnsi" w:hAnsi="Arial" w:cs="Arial"/>
                <w:sz w:val="22"/>
                <w:szCs w:val="22"/>
                <w:lang w:val="en-US"/>
              </w:rPr>
            </w:pPr>
            <w:r w:rsidRPr="002052D8">
              <w:rPr>
                <w:rFonts w:ascii="Arial" w:eastAsiaTheme="minorHAnsi" w:hAnsi="Arial" w:cs="Arial"/>
                <w:b/>
                <w:sz w:val="22"/>
                <w:szCs w:val="22"/>
                <w:lang w:val="en-US"/>
              </w:rPr>
              <w:t>Opšti urbanističko tehnički uslovi</w:t>
            </w:r>
            <w:r w:rsidRPr="002052D8">
              <w:rPr>
                <w:rFonts w:ascii="Arial" w:eastAsiaTheme="minorHAnsi" w:hAnsi="Arial" w:cs="Arial"/>
                <w:sz w:val="22"/>
                <w:szCs w:val="22"/>
                <w:lang w:val="en-US"/>
              </w:rPr>
              <w:t xml:space="preserve"> o kojima treba voditi računa kada je u pitanju sigurnost vazdušnog saobraćaja, izdati od Agencije za civilno vazduhoplovstvo su: </w:t>
            </w:r>
          </w:p>
          <w:p w:rsidR="00E73943" w:rsidRPr="002052D8" w:rsidRDefault="00E73943" w:rsidP="00E73943">
            <w:pPr>
              <w:numPr>
                <w:ilvl w:val="0"/>
                <w:numId w:val="3"/>
              </w:numPr>
              <w:ind w:left="0"/>
              <w:jc w:val="both"/>
              <w:rPr>
                <w:rFonts w:ascii="Arial" w:eastAsiaTheme="minorHAnsi" w:hAnsi="Arial" w:cs="Arial"/>
                <w:sz w:val="22"/>
                <w:szCs w:val="22"/>
                <w:lang w:val="en-US"/>
              </w:rPr>
            </w:pPr>
            <w:r w:rsidRPr="002052D8">
              <w:rPr>
                <w:rFonts w:ascii="Arial" w:eastAsiaTheme="minorHAnsi" w:hAnsi="Arial" w:cs="Arial"/>
                <w:sz w:val="22"/>
                <w:szCs w:val="22"/>
                <w:lang w:val="en-US"/>
              </w:rPr>
              <w:t>Objekat svojim položajem i planiranim gabaritima ne smije da se prostire iznad površina namijenjenih za zaštitu vazduhoplova u letu;</w:t>
            </w:r>
          </w:p>
          <w:p w:rsidR="00E73943" w:rsidRPr="002052D8" w:rsidRDefault="00E73943" w:rsidP="00E73943">
            <w:pPr>
              <w:numPr>
                <w:ilvl w:val="0"/>
                <w:numId w:val="3"/>
              </w:numPr>
              <w:ind w:left="0"/>
              <w:jc w:val="both"/>
              <w:rPr>
                <w:rFonts w:ascii="Arial" w:eastAsiaTheme="minorHAnsi" w:hAnsi="Arial" w:cs="Arial"/>
                <w:sz w:val="22"/>
                <w:szCs w:val="22"/>
                <w:lang w:val="en-US"/>
              </w:rPr>
            </w:pPr>
            <w:r w:rsidRPr="002052D8">
              <w:rPr>
                <w:rFonts w:ascii="Arial" w:eastAsiaTheme="minorHAnsi" w:hAnsi="Arial" w:cs="Arial"/>
                <w:sz w:val="22"/>
                <w:szCs w:val="22"/>
                <w:lang w:val="en-US"/>
              </w:rPr>
              <w:t>Objekat svojim položajem, planiranim gabaritima i namjenom ne smije da ometa rad tehničkih sistema, sredstava i objekata za obezbjeđenje vazdušnog saobraćaja (radio-navigacionih sredstava);</w:t>
            </w:r>
          </w:p>
          <w:p w:rsidR="00E73943" w:rsidRPr="002052D8" w:rsidRDefault="00E73943" w:rsidP="00E73943">
            <w:pPr>
              <w:numPr>
                <w:ilvl w:val="0"/>
                <w:numId w:val="3"/>
              </w:numPr>
              <w:ind w:left="0"/>
              <w:jc w:val="both"/>
              <w:rPr>
                <w:rFonts w:ascii="Arial" w:eastAsiaTheme="minorHAnsi" w:hAnsi="Arial" w:cs="Arial"/>
                <w:sz w:val="22"/>
                <w:szCs w:val="22"/>
                <w:lang w:val="en-US"/>
              </w:rPr>
            </w:pPr>
            <w:r w:rsidRPr="002052D8">
              <w:rPr>
                <w:rFonts w:ascii="Arial" w:eastAsiaTheme="minorHAnsi" w:hAnsi="Arial" w:cs="Arial"/>
                <w:sz w:val="22"/>
                <w:szCs w:val="22"/>
                <w:lang w:val="en-US"/>
              </w:rPr>
              <w:t>Objekat svojom namjenom ne smije uticati na promjene u biljnom i životinjskom svijetu koje bi mogle štetno uticati na sigurnost (bezbijednost) vazdušnog saobraćaja;</w:t>
            </w:r>
          </w:p>
          <w:p w:rsidR="00E73943" w:rsidRPr="002052D8" w:rsidRDefault="00E73943" w:rsidP="00E73943">
            <w:pPr>
              <w:numPr>
                <w:ilvl w:val="0"/>
                <w:numId w:val="3"/>
              </w:numPr>
              <w:ind w:left="0"/>
              <w:jc w:val="both"/>
              <w:rPr>
                <w:rFonts w:ascii="Arial" w:eastAsiaTheme="minorHAnsi" w:hAnsi="Arial" w:cs="Arial"/>
                <w:sz w:val="22"/>
                <w:szCs w:val="22"/>
                <w:lang w:val="en-US"/>
              </w:rPr>
            </w:pPr>
            <w:r w:rsidRPr="002052D8">
              <w:rPr>
                <w:rFonts w:ascii="Arial" w:eastAsiaTheme="minorHAnsi" w:hAnsi="Arial" w:cs="Arial"/>
                <w:sz w:val="22"/>
                <w:szCs w:val="22"/>
                <w:lang w:val="en-US"/>
              </w:rPr>
              <w:t>Objekat ne smije biti opremljen svijetlima koja su opasna, zbunjujuća i izazivaju obmanu/zabludu pilota vazduhoplova;</w:t>
            </w:r>
          </w:p>
          <w:p w:rsidR="00E73943" w:rsidRPr="002052D8" w:rsidRDefault="00E73943" w:rsidP="00E73943">
            <w:pPr>
              <w:numPr>
                <w:ilvl w:val="0"/>
                <w:numId w:val="3"/>
              </w:numPr>
              <w:ind w:left="0"/>
              <w:jc w:val="both"/>
              <w:rPr>
                <w:rFonts w:ascii="Arial" w:eastAsiaTheme="minorHAnsi" w:hAnsi="Arial" w:cs="Arial"/>
                <w:sz w:val="22"/>
                <w:szCs w:val="22"/>
                <w:lang w:val="en-US"/>
              </w:rPr>
            </w:pPr>
            <w:r w:rsidRPr="002052D8">
              <w:rPr>
                <w:rFonts w:ascii="Arial" w:eastAsiaTheme="minorHAnsi" w:hAnsi="Arial" w:cs="Arial"/>
                <w:sz w:val="22"/>
                <w:szCs w:val="22"/>
                <w:lang w:val="en-US"/>
              </w:rPr>
              <w:t>Objekat ne smije biti opremljen velikim i visoko reflektujućim površinama koje prouzrokuju zasljepljivanje pilota vazduhoplova.</w:t>
            </w:r>
          </w:p>
          <w:p w:rsidR="00E73943" w:rsidRPr="002052D8" w:rsidRDefault="00E73943" w:rsidP="00E73943">
            <w:pPr>
              <w:tabs>
                <w:tab w:val="left" w:pos="426"/>
              </w:tabs>
              <w:jc w:val="both"/>
              <w:rPr>
                <w:rFonts w:ascii="Arial" w:eastAsiaTheme="minorHAnsi" w:hAnsi="Arial" w:cs="Arial"/>
                <w:sz w:val="22"/>
                <w:szCs w:val="22"/>
                <w:lang w:val="it-IT"/>
              </w:rPr>
            </w:pPr>
            <w:r w:rsidRPr="002052D8">
              <w:rPr>
                <w:rFonts w:ascii="Arial" w:eastAsiaTheme="minorHAnsi" w:hAnsi="Arial" w:cs="Arial"/>
                <w:sz w:val="22"/>
                <w:szCs w:val="22"/>
                <w:u w:val="single"/>
                <w:lang w:val="it-IT"/>
              </w:rPr>
              <w:t>Navedeni uslovi su opšteg karaktera, tj. odnose se na sve objekte na teritoriji Crne Gore</w:t>
            </w:r>
            <w:r w:rsidRPr="002052D8">
              <w:rPr>
                <w:rFonts w:ascii="Arial" w:eastAsiaTheme="minorHAnsi" w:hAnsi="Arial" w:cs="Arial"/>
                <w:sz w:val="22"/>
                <w:szCs w:val="22"/>
                <w:lang w:val="it-IT"/>
              </w:rPr>
              <w:t>.</w:t>
            </w:r>
          </w:p>
          <w:p w:rsidR="00A903A0" w:rsidRPr="007F5366" w:rsidRDefault="00A903A0" w:rsidP="00652A01">
            <w:pPr>
              <w:tabs>
                <w:tab w:val="left" w:pos="426"/>
              </w:tabs>
              <w:jc w:val="both"/>
              <w:rPr>
                <w:rFonts w:ascii="Arial" w:hAnsi="Arial" w:cs="Arial"/>
                <w:sz w:val="22"/>
                <w:szCs w:val="22"/>
                <w:lang w:val="it-IT"/>
              </w:rPr>
            </w:pPr>
          </w:p>
        </w:tc>
      </w:tr>
      <w:tr w:rsidR="00727CDC" w:rsidRPr="007F5366" w:rsidTr="00922392">
        <w:trPr>
          <w:trHeight w:val="262"/>
          <w:jc w:val="center"/>
        </w:trPr>
        <w:tc>
          <w:tcPr>
            <w:tcW w:w="11558" w:type="dxa"/>
            <w:gridSpan w:val="5"/>
            <w:noWrap/>
            <w:vAlign w:val="center"/>
            <w:hideMark/>
          </w:tcPr>
          <w:p w:rsidR="00864B33" w:rsidRPr="007F5366" w:rsidRDefault="00864B33" w:rsidP="007F5054">
            <w:pPr>
              <w:tabs>
                <w:tab w:val="left" w:pos="6915"/>
              </w:tabs>
              <w:rPr>
                <w:rFonts w:ascii="Arial" w:hAnsi="Arial" w:cs="Arial"/>
                <w:sz w:val="22"/>
                <w:szCs w:val="22"/>
              </w:rPr>
            </w:pPr>
          </w:p>
        </w:tc>
      </w:tr>
      <w:tr w:rsidR="00F04485" w:rsidRPr="007F5366" w:rsidTr="00922392">
        <w:trPr>
          <w:trHeight w:val="300"/>
          <w:jc w:val="center"/>
        </w:trPr>
        <w:tc>
          <w:tcPr>
            <w:tcW w:w="1772" w:type="dxa"/>
            <w:noWrap/>
            <w:vAlign w:val="center"/>
            <w:hideMark/>
          </w:tcPr>
          <w:p w:rsidR="00727CDC" w:rsidRPr="007F5366" w:rsidRDefault="00727CDC" w:rsidP="00F5152B">
            <w:pPr>
              <w:pStyle w:val="ListParagraph"/>
              <w:numPr>
                <w:ilvl w:val="0"/>
                <w:numId w:val="1"/>
              </w:numPr>
              <w:tabs>
                <w:tab w:val="left" w:pos="6915"/>
              </w:tabs>
              <w:rPr>
                <w:rFonts w:ascii="Arial" w:hAnsi="Arial" w:cs="Arial"/>
                <w:sz w:val="22"/>
                <w:szCs w:val="22"/>
              </w:rPr>
            </w:pPr>
            <w:r w:rsidRPr="007F5366">
              <w:rPr>
                <w:rFonts w:ascii="Arial" w:hAnsi="Arial" w:cs="Arial"/>
                <w:sz w:val="22"/>
                <w:szCs w:val="22"/>
              </w:rPr>
              <w:t>.</w:t>
            </w:r>
          </w:p>
        </w:tc>
        <w:tc>
          <w:tcPr>
            <w:tcW w:w="9786" w:type="dxa"/>
            <w:gridSpan w:val="4"/>
            <w:noWrap/>
            <w:vAlign w:val="center"/>
            <w:hideMark/>
          </w:tcPr>
          <w:p w:rsidR="00727CDC" w:rsidRPr="007F5366" w:rsidRDefault="00727CDC" w:rsidP="005053D0">
            <w:pPr>
              <w:tabs>
                <w:tab w:val="left" w:pos="6915"/>
              </w:tabs>
              <w:rPr>
                <w:rFonts w:ascii="Arial" w:hAnsi="Arial" w:cs="Arial"/>
                <w:b/>
                <w:bCs/>
                <w:sz w:val="22"/>
                <w:szCs w:val="22"/>
              </w:rPr>
            </w:pPr>
            <w:r w:rsidRPr="007F5366">
              <w:rPr>
                <w:rFonts w:ascii="Arial" w:hAnsi="Arial" w:cs="Arial"/>
                <w:b/>
                <w:bCs/>
                <w:sz w:val="22"/>
                <w:szCs w:val="22"/>
              </w:rPr>
              <w:t>MOGUĆNOST FAZNOG GRAĐENJA OBJEKTA</w:t>
            </w:r>
          </w:p>
        </w:tc>
      </w:tr>
      <w:tr w:rsidR="00F04485" w:rsidRPr="007F5366" w:rsidTr="00922392">
        <w:trPr>
          <w:trHeight w:val="661"/>
          <w:jc w:val="center"/>
        </w:trPr>
        <w:tc>
          <w:tcPr>
            <w:tcW w:w="1772" w:type="dxa"/>
            <w:noWrap/>
            <w:vAlign w:val="center"/>
            <w:hideMark/>
          </w:tcPr>
          <w:p w:rsidR="00727CDC" w:rsidRPr="007F5366" w:rsidRDefault="00727CDC" w:rsidP="005053D0">
            <w:pPr>
              <w:pStyle w:val="ListParagraph"/>
              <w:tabs>
                <w:tab w:val="left" w:pos="6915"/>
              </w:tabs>
              <w:rPr>
                <w:rFonts w:ascii="Arial" w:hAnsi="Arial" w:cs="Arial"/>
                <w:sz w:val="22"/>
                <w:szCs w:val="22"/>
              </w:rPr>
            </w:pPr>
          </w:p>
        </w:tc>
        <w:tc>
          <w:tcPr>
            <w:tcW w:w="9786" w:type="dxa"/>
            <w:gridSpan w:val="4"/>
            <w:noWrap/>
            <w:hideMark/>
          </w:tcPr>
          <w:p w:rsidR="00203B52" w:rsidRPr="007F5366" w:rsidRDefault="00203B52" w:rsidP="0078089E">
            <w:pPr>
              <w:ind w:right="-34"/>
              <w:jc w:val="both"/>
              <w:rPr>
                <w:rFonts w:ascii="Arial" w:hAnsi="Arial" w:cs="Arial"/>
                <w:b/>
                <w:sz w:val="22"/>
                <w:szCs w:val="22"/>
                <w:lang w:val="sr-Latn-CS"/>
              </w:rPr>
            </w:pPr>
          </w:p>
          <w:p w:rsidR="003F3A4A" w:rsidRDefault="003F3A4A" w:rsidP="00BF2A54">
            <w:pPr>
              <w:pStyle w:val="Header"/>
              <w:tabs>
                <w:tab w:val="left" w:pos="1260"/>
              </w:tabs>
              <w:rPr>
                <w:rFonts w:ascii="Arial" w:eastAsia="Times New Roman" w:hAnsi="Arial" w:cs="Arial"/>
                <w:sz w:val="22"/>
                <w:szCs w:val="22"/>
                <w:lang w:val="sr-Latn-CS"/>
              </w:rPr>
            </w:pPr>
            <w:r w:rsidRPr="007F5366">
              <w:rPr>
                <w:rFonts w:ascii="Arial" w:eastAsia="Times New Roman" w:hAnsi="Arial" w:cs="Arial"/>
                <w:sz w:val="22"/>
                <w:szCs w:val="22"/>
                <w:lang w:val="sr-Latn-CS"/>
              </w:rPr>
              <w:t xml:space="preserve">Eventualnu etapnost građenja objekta treba predvidjeti tehničkom dokumentacijom pri čemu svaka etapa mora predstavljati funkcionalnu cjelinu.  </w:t>
            </w:r>
          </w:p>
          <w:p w:rsidR="00226D34" w:rsidRPr="007F5366" w:rsidRDefault="00226D34" w:rsidP="00BF2A54">
            <w:pPr>
              <w:pStyle w:val="Header"/>
              <w:tabs>
                <w:tab w:val="left" w:pos="1260"/>
              </w:tabs>
              <w:rPr>
                <w:rFonts w:ascii="Arial" w:eastAsia="Times New Roman" w:hAnsi="Arial" w:cs="Arial"/>
                <w:sz w:val="22"/>
                <w:szCs w:val="22"/>
                <w:lang w:val="sr-Latn-CS"/>
              </w:rPr>
            </w:pPr>
          </w:p>
        </w:tc>
      </w:tr>
      <w:tr w:rsidR="00727CDC" w:rsidRPr="007F5366" w:rsidTr="00922392">
        <w:trPr>
          <w:trHeight w:val="273"/>
          <w:jc w:val="center"/>
        </w:trPr>
        <w:tc>
          <w:tcPr>
            <w:tcW w:w="11558" w:type="dxa"/>
            <w:gridSpan w:val="5"/>
            <w:noWrap/>
            <w:vAlign w:val="center"/>
            <w:hideMark/>
          </w:tcPr>
          <w:p w:rsidR="00EE64AF" w:rsidRPr="007F5366" w:rsidRDefault="00EE64AF" w:rsidP="007F5054">
            <w:pPr>
              <w:tabs>
                <w:tab w:val="left" w:pos="6915"/>
              </w:tabs>
              <w:rPr>
                <w:rFonts w:ascii="Arial" w:hAnsi="Arial" w:cs="Arial"/>
                <w:sz w:val="22"/>
                <w:szCs w:val="22"/>
              </w:rPr>
            </w:pPr>
          </w:p>
        </w:tc>
      </w:tr>
      <w:tr w:rsidR="00F04485" w:rsidRPr="007F5366" w:rsidTr="00922392">
        <w:trPr>
          <w:trHeight w:val="300"/>
          <w:jc w:val="center"/>
        </w:trPr>
        <w:tc>
          <w:tcPr>
            <w:tcW w:w="1772" w:type="dxa"/>
            <w:noWrap/>
            <w:vAlign w:val="center"/>
            <w:hideMark/>
          </w:tcPr>
          <w:p w:rsidR="00727CDC" w:rsidRPr="007F5366" w:rsidRDefault="00727CDC" w:rsidP="00F5152B">
            <w:pPr>
              <w:pStyle w:val="ListParagraph"/>
              <w:numPr>
                <w:ilvl w:val="0"/>
                <w:numId w:val="1"/>
              </w:numPr>
              <w:tabs>
                <w:tab w:val="left" w:pos="6915"/>
              </w:tabs>
              <w:rPr>
                <w:rFonts w:ascii="Arial" w:hAnsi="Arial" w:cs="Arial"/>
                <w:sz w:val="22"/>
                <w:szCs w:val="22"/>
              </w:rPr>
            </w:pPr>
            <w:r w:rsidRPr="007F5366">
              <w:rPr>
                <w:rFonts w:ascii="Arial" w:hAnsi="Arial" w:cs="Arial"/>
                <w:sz w:val="22"/>
                <w:szCs w:val="22"/>
              </w:rPr>
              <w:t>.</w:t>
            </w:r>
          </w:p>
        </w:tc>
        <w:tc>
          <w:tcPr>
            <w:tcW w:w="9786" w:type="dxa"/>
            <w:gridSpan w:val="4"/>
            <w:noWrap/>
            <w:vAlign w:val="center"/>
            <w:hideMark/>
          </w:tcPr>
          <w:p w:rsidR="00727CDC" w:rsidRPr="007F5366" w:rsidRDefault="00727CDC" w:rsidP="005053D0">
            <w:pPr>
              <w:tabs>
                <w:tab w:val="left" w:pos="6915"/>
              </w:tabs>
              <w:rPr>
                <w:rFonts w:ascii="Arial" w:hAnsi="Arial" w:cs="Arial"/>
                <w:b/>
                <w:bCs/>
                <w:sz w:val="22"/>
                <w:szCs w:val="22"/>
              </w:rPr>
            </w:pPr>
            <w:r w:rsidRPr="007F5366">
              <w:rPr>
                <w:rFonts w:ascii="Arial" w:hAnsi="Arial" w:cs="Arial"/>
                <w:b/>
                <w:bCs/>
                <w:sz w:val="22"/>
                <w:szCs w:val="22"/>
              </w:rPr>
              <w:t>USLOV</w:t>
            </w:r>
            <w:r w:rsidR="008D5C45" w:rsidRPr="007F5366">
              <w:rPr>
                <w:rFonts w:ascii="Arial" w:hAnsi="Arial" w:cs="Arial"/>
                <w:b/>
                <w:bCs/>
                <w:sz w:val="22"/>
                <w:szCs w:val="22"/>
              </w:rPr>
              <w:t>I</w:t>
            </w:r>
            <w:r w:rsidRPr="007F5366">
              <w:rPr>
                <w:rFonts w:ascii="Arial" w:hAnsi="Arial" w:cs="Arial"/>
                <w:b/>
                <w:bCs/>
                <w:sz w:val="22"/>
                <w:szCs w:val="22"/>
              </w:rPr>
              <w:t xml:space="preserve"> ZA PRIKLJUČENJE NA INFRASTRUKTURU</w:t>
            </w:r>
          </w:p>
        </w:tc>
      </w:tr>
      <w:tr w:rsidR="009531DE" w:rsidRPr="007F5366" w:rsidTr="00922392">
        <w:trPr>
          <w:trHeight w:val="300"/>
          <w:jc w:val="center"/>
        </w:trPr>
        <w:tc>
          <w:tcPr>
            <w:tcW w:w="1772" w:type="dxa"/>
            <w:noWrap/>
            <w:vAlign w:val="center"/>
          </w:tcPr>
          <w:p w:rsidR="009531DE" w:rsidRPr="007F5366" w:rsidRDefault="009531DE" w:rsidP="009531DE">
            <w:pPr>
              <w:pStyle w:val="ListParagraph"/>
              <w:tabs>
                <w:tab w:val="left" w:pos="6915"/>
              </w:tabs>
              <w:rPr>
                <w:rFonts w:ascii="Arial" w:hAnsi="Arial" w:cs="Arial"/>
                <w:sz w:val="22"/>
                <w:szCs w:val="22"/>
              </w:rPr>
            </w:pPr>
          </w:p>
        </w:tc>
        <w:tc>
          <w:tcPr>
            <w:tcW w:w="9786" w:type="dxa"/>
            <w:gridSpan w:val="4"/>
            <w:noWrap/>
            <w:vAlign w:val="center"/>
          </w:tcPr>
          <w:p w:rsidR="002E1FCD" w:rsidRPr="002052D8" w:rsidRDefault="002E1FCD" w:rsidP="009531DE">
            <w:pPr>
              <w:autoSpaceDE w:val="0"/>
              <w:autoSpaceDN w:val="0"/>
              <w:adjustRightInd w:val="0"/>
              <w:jc w:val="both"/>
              <w:rPr>
                <w:rFonts w:ascii="Arial" w:eastAsia="Times New Roman" w:hAnsi="Arial" w:cs="Arial"/>
                <w:sz w:val="22"/>
                <w:szCs w:val="22"/>
                <w:lang w:val="pl-PL"/>
              </w:rPr>
            </w:pPr>
          </w:p>
          <w:p w:rsidR="009531DE" w:rsidRPr="002052D8" w:rsidRDefault="009531DE" w:rsidP="009531DE">
            <w:pPr>
              <w:autoSpaceDE w:val="0"/>
              <w:autoSpaceDN w:val="0"/>
              <w:adjustRightInd w:val="0"/>
              <w:jc w:val="both"/>
              <w:rPr>
                <w:rFonts w:ascii="Arial" w:eastAsia="Times New Roman" w:hAnsi="Arial" w:cs="Arial"/>
                <w:sz w:val="22"/>
                <w:szCs w:val="22"/>
                <w:lang w:val="pl-PL"/>
              </w:rPr>
            </w:pPr>
            <w:r w:rsidRPr="002052D8">
              <w:rPr>
                <w:rFonts w:ascii="Arial" w:eastAsia="Times New Roman" w:hAnsi="Arial" w:cs="Arial"/>
                <w:sz w:val="22"/>
                <w:szCs w:val="22"/>
                <w:lang w:val="pl-PL"/>
              </w:rPr>
              <w:t>Priključenje na mrežu komunalne infrastrukture vrši se prema postojećim, odnosno planiranim tehničkim mogućnostima mreže, na način kako je predviđeno tehničkom dokumentacijom, a na osnovu propisa i uslova i saglasnosti javnih preduzeća.</w:t>
            </w:r>
          </w:p>
          <w:p w:rsidR="00EE5B0E" w:rsidRPr="002052D8" w:rsidRDefault="00BC1E63" w:rsidP="00C80E1D">
            <w:pPr>
              <w:widowControl w:val="0"/>
              <w:autoSpaceDE w:val="0"/>
              <w:autoSpaceDN w:val="0"/>
              <w:adjustRightInd w:val="0"/>
              <w:jc w:val="both"/>
              <w:rPr>
                <w:rFonts w:ascii="Arial" w:hAnsi="Arial" w:cs="Arial"/>
                <w:sz w:val="22"/>
                <w:szCs w:val="22"/>
              </w:rPr>
            </w:pPr>
            <w:r w:rsidRPr="002052D8">
              <w:rPr>
                <w:rFonts w:ascii="Arial" w:hAnsi="Arial" w:cs="Arial"/>
                <w:sz w:val="22"/>
                <w:szCs w:val="22"/>
              </w:rPr>
              <w:t>Instalacije</w:t>
            </w:r>
            <w:r w:rsidRPr="002052D8">
              <w:rPr>
                <w:rFonts w:ascii="Arial" w:hAnsi="Arial" w:cs="Arial"/>
                <w:spacing w:val="41"/>
                <w:sz w:val="22"/>
                <w:szCs w:val="22"/>
              </w:rPr>
              <w:t xml:space="preserve"> </w:t>
            </w:r>
            <w:r w:rsidRPr="002052D8">
              <w:rPr>
                <w:rFonts w:ascii="Arial" w:hAnsi="Arial" w:cs="Arial"/>
                <w:sz w:val="22"/>
                <w:szCs w:val="22"/>
              </w:rPr>
              <w:t>projektovati</w:t>
            </w:r>
            <w:r w:rsidRPr="002052D8">
              <w:rPr>
                <w:rFonts w:ascii="Arial" w:hAnsi="Arial" w:cs="Arial"/>
                <w:spacing w:val="39"/>
                <w:sz w:val="22"/>
                <w:szCs w:val="22"/>
              </w:rPr>
              <w:t xml:space="preserve"> </w:t>
            </w:r>
            <w:r w:rsidRPr="002052D8">
              <w:rPr>
                <w:rFonts w:ascii="Arial" w:hAnsi="Arial" w:cs="Arial"/>
                <w:sz w:val="22"/>
                <w:szCs w:val="22"/>
              </w:rPr>
              <w:t>i</w:t>
            </w:r>
            <w:r w:rsidRPr="002052D8">
              <w:rPr>
                <w:rFonts w:ascii="Arial" w:hAnsi="Arial" w:cs="Arial"/>
                <w:spacing w:val="-1"/>
                <w:sz w:val="22"/>
                <w:szCs w:val="22"/>
              </w:rPr>
              <w:t xml:space="preserve"> </w:t>
            </w:r>
            <w:r w:rsidRPr="002052D8">
              <w:rPr>
                <w:rFonts w:ascii="Arial" w:hAnsi="Arial" w:cs="Arial"/>
                <w:spacing w:val="1"/>
                <w:sz w:val="22"/>
                <w:szCs w:val="22"/>
              </w:rPr>
              <w:t>i</w:t>
            </w:r>
            <w:r w:rsidRPr="002052D8">
              <w:rPr>
                <w:rFonts w:ascii="Arial" w:hAnsi="Arial" w:cs="Arial"/>
                <w:sz w:val="22"/>
                <w:szCs w:val="22"/>
              </w:rPr>
              <w:t>z</w:t>
            </w:r>
            <w:r w:rsidRPr="002052D8">
              <w:rPr>
                <w:rFonts w:ascii="Arial" w:hAnsi="Arial" w:cs="Arial"/>
                <w:spacing w:val="1"/>
                <w:sz w:val="22"/>
                <w:szCs w:val="22"/>
              </w:rPr>
              <w:t>v</w:t>
            </w:r>
            <w:r w:rsidRPr="002052D8">
              <w:rPr>
                <w:rFonts w:ascii="Arial" w:hAnsi="Arial" w:cs="Arial"/>
                <w:sz w:val="22"/>
                <w:szCs w:val="22"/>
              </w:rPr>
              <w:t>e</w:t>
            </w:r>
            <w:r w:rsidRPr="002052D8">
              <w:rPr>
                <w:rFonts w:ascii="Arial" w:hAnsi="Arial" w:cs="Arial"/>
                <w:spacing w:val="1"/>
                <w:sz w:val="22"/>
                <w:szCs w:val="22"/>
              </w:rPr>
              <w:t>s</w:t>
            </w:r>
            <w:r w:rsidRPr="002052D8">
              <w:rPr>
                <w:rFonts w:ascii="Arial" w:hAnsi="Arial" w:cs="Arial"/>
                <w:sz w:val="22"/>
                <w:szCs w:val="22"/>
              </w:rPr>
              <w:t>ti</w:t>
            </w:r>
            <w:r w:rsidRPr="002052D8">
              <w:rPr>
                <w:rFonts w:ascii="Arial" w:hAnsi="Arial" w:cs="Arial"/>
                <w:spacing w:val="-6"/>
                <w:sz w:val="22"/>
                <w:szCs w:val="22"/>
              </w:rPr>
              <w:t xml:space="preserve"> </w:t>
            </w:r>
            <w:r w:rsidRPr="002052D8">
              <w:rPr>
                <w:rFonts w:ascii="Arial" w:hAnsi="Arial" w:cs="Arial"/>
                <w:sz w:val="22"/>
                <w:szCs w:val="22"/>
              </w:rPr>
              <w:t>u skladu</w:t>
            </w:r>
            <w:r w:rsidRPr="002052D8">
              <w:rPr>
                <w:rFonts w:ascii="Arial" w:hAnsi="Arial" w:cs="Arial"/>
                <w:spacing w:val="45"/>
                <w:sz w:val="22"/>
                <w:szCs w:val="22"/>
              </w:rPr>
              <w:t xml:space="preserve"> </w:t>
            </w:r>
            <w:r w:rsidRPr="002052D8">
              <w:rPr>
                <w:rFonts w:ascii="Arial" w:hAnsi="Arial" w:cs="Arial"/>
                <w:spacing w:val="1"/>
                <w:sz w:val="22"/>
                <w:szCs w:val="22"/>
              </w:rPr>
              <w:t>s</w:t>
            </w:r>
            <w:r w:rsidRPr="002052D8">
              <w:rPr>
                <w:rFonts w:ascii="Arial" w:hAnsi="Arial" w:cs="Arial"/>
                <w:sz w:val="22"/>
                <w:szCs w:val="22"/>
              </w:rPr>
              <w:t>a</w:t>
            </w:r>
            <w:r w:rsidRPr="002052D8">
              <w:rPr>
                <w:rFonts w:ascii="Arial" w:hAnsi="Arial" w:cs="Arial"/>
                <w:spacing w:val="47"/>
                <w:sz w:val="22"/>
                <w:szCs w:val="22"/>
              </w:rPr>
              <w:t xml:space="preserve"> </w:t>
            </w:r>
            <w:r w:rsidRPr="002052D8">
              <w:rPr>
                <w:rFonts w:ascii="Arial" w:hAnsi="Arial" w:cs="Arial"/>
                <w:sz w:val="22"/>
                <w:szCs w:val="22"/>
              </w:rPr>
              <w:t>važeć</w:t>
            </w:r>
            <w:r w:rsidRPr="002052D8">
              <w:rPr>
                <w:rFonts w:ascii="Arial" w:hAnsi="Arial" w:cs="Arial"/>
                <w:spacing w:val="1"/>
                <w:sz w:val="22"/>
                <w:szCs w:val="22"/>
              </w:rPr>
              <w:t>i</w:t>
            </w:r>
            <w:r w:rsidRPr="002052D8">
              <w:rPr>
                <w:rFonts w:ascii="Arial" w:hAnsi="Arial" w:cs="Arial"/>
                <w:sz w:val="22"/>
                <w:szCs w:val="22"/>
              </w:rPr>
              <w:t>m</w:t>
            </w:r>
            <w:r w:rsidRPr="002052D8">
              <w:rPr>
                <w:rFonts w:ascii="Arial" w:hAnsi="Arial" w:cs="Arial"/>
                <w:spacing w:val="43"/>
                <w:sz w:val="22"/>
                <w:szCs w:val="22"/>
              </w:rPr>
              <w:t xml:space="preserve"> </w:t>
            </w:r>
            <w:r w:rsidRPr="002052D8">
              <w:rPr>
                <w:rFonts w:ascii="Arial" w:hAnsi="Arial" w:cs="Arial"/>
                <w:sz w:val="22"/>
                <w:szCs w:val="22"/>
              </w:rPr>
              <w:t>propisima</w:t>
            </w:r>
            <w:r w:rsidRPr="002052D8">
              <w:rPr>
                <w:rFonts w:ascii="Arial" w:hAnsi="Arial" w:cs="Arial"/>
                <w:spacing w:val="40"/>
                <w:sz w:val="22"/>
                <w:szCs w:val="22"/>
              </w:rPr>
              <w:t xml:space="preserve"> </w:t>
            </w:r>
            <w:r w:rsidRPr="002052D8">
              <w:rPr>
                <w:rFonts w:ascii="Arial" w:hAnsi="Arial" w:cs="Arial"/>
                <w:sz w:val="22"/>
                <w:szCs w:val="22"/>
              </w:rPr>
              <w:t>i</w:t>
            </w:r>
            <w:r w:rsidRPr="002052D8">
              <w:rPr>
                <w:rFonts w:ascii="Arial" w:hAnsi="Arial" w:cs="Arial"/>
                <w:spacing w:val="-1"/>
                <w:sz w:val="22"/>
                <w:szCs w:val="22"/>
              </w:rPr>
              <w:t xml:space="preserve"> </w:t>
            </w:r>
            <w:r w:rsidRPr="002052D8">
              <w:rPr>
                <w:rFonts w:ascii="Arial" w:hAnsi="Arial" w:cs="Arial"/>
                <w:spacing w:val="2"/>
                <w:sz w:val="22"/>
                <w:szCs w:val="22"/>
              </w:rPr>
              <w:t>s</w:t>
            </w:r>
            <w:r w:rsidRPr="002052D8">
              <w:rPr>
                <w:rFonts w:ascii="Arial" w:hAnsi="Arial" w:cs="Arial"/>
                <w:spacing w:val="1"/>
                <w:sz w:val="22"/>
                <w:szCs w:val="22"/>
              </w:rPr>
              <w:t>t</w:t>
            </w:r>
            <w:r w:rsidR="00C80E1D" w:rsidRPr="002052D8">
              <w:rPr>
                <w:rFonts w:ascii="Arial" w:hAnsi="Arial" w:cs="Arial"/>
                <w:sz w:val="22"/>
                <w:szCs w:val="22"/>
              </w:rPr>
              <w:t>andardima.</w:t>
            </w:r>
          </w:p>
          <w:p w:rsidR="000E4037" w:rsidRPr="00092907" w:rsidRDefault="000E4037" w:rsidP="000E4037">
            <w:pPr>
              <w:widowControl w:val="0"/>
              <w:autoSpaceDE w:val="0"/>
              <w:autoSpaceDN w:val="0"/>
              <w:adjustRightInd w:val="0"/>
              <w:jc w:val="both"/>
              <w:rPr>
                <w:rFonts w:ascii="Arial" w:hAnsi="Arial" w:cs="Arial"/>
                <w:sz w:val="22"/>
                <w:szCs w:val="22"/>
              </w:rPr>
            </w:pPr>
            <w:r w:rsidRPr="00092907">
              <w:rPr>
                <w:rFonts w:ascii="Arial" w:hAnsi="Arial" w:cs="Arial"/>
                <w:sz w:val="22"/>
                <w:szCs w:val="22"/>
              </w:rPr>
              <w:t>Shodnočlanu 8 Odluke o izgradnji lokalnih objekata od opšteg interesa ("Službeni list Crne Gore - opštinski propisi", br. 18/14,42/15, 28/16 i 7/21) za potrebe izrade Programskog zadatka iz stava 1 ovoga člana nadležni organ je pribavio mišljenja institucija za koje cijeni da mogu biti od značaja za izradu programskog zadatka.</w:t>
            </w:r>
          </w:p>
          <w:p w:rsidR="008027E5" w:rsidRPr="007F5366" w:rsidRDefault="008027E5" w:rsidP="008C6F08">
            <w:pPr>
              <w:spacing w:before="120"/>
              <w:contextualSpacing/>
              <w:jc w:val="both"/>
              <w:rPr>
                <w:rFonts w:ascii="Arial" w:hAnsi="Arial" w:cs="Arial"/>
                <w:sz w:val="22"/>
                <w:szCs w:val="22"/>
              </w:rPr>
            </w:pPr>
          </w:p>
        </w:tc>
      </w:tr>
      <w:tr w:rsidR="00F04485" w:rsidRPr="007F5366" w:rsidTr="00922392">
        <w:trPr>
          <w:trHeight w:val="300"/>
          <w:jc w:val="center"/>
        </w:trPr>
        <w:tc>
          <w:tcPr>
            <w:tcW w:w="1772" w:type="dxa"/>
            <w:noWrap/>
            <w:vAlign w:val="center"/>
            <w:hideMark/>
          </w:tcPr>
          <w:p w:rsidR="00727CDC" w:rsidRPr="007F5366" w:rsidRDefault="00922392" w:rsidP="00922392">
            <w:pPr>
              <w:tabs>
                <w:tab w:val="left" w:pos="6915"/>
              </w:tabs>
              <w:ind w:left="34" w:firstLine="691"/>
              <w:rPr>
                <w:rFonts w:ascii="Arial" w:hAnsi="Arial" w:cs="Arial"/>
                <w:sz w:val="22"/>
                <w:szCs w:val="22"/>
              </w:rPr>
            </w:pPr>
            <w:r>
              <w:rPr>
                <w:rFonts w:ascii="Arial" w:hAnsi="Arial" w:cs="Arial"/>
                <w:sz w:val="22"/>
                <w:szCs w:val="22"/>
              </w:rPr>
              <w:t>14</w:t>
            </w:r>
            <w:r w:rsidR="00103490" w:rsidRPr="007F5366">
              <w:rPr>
                <w:rFonts w:ascii="Arial" w:hAnsi="Arial" w:cs="Arial"/>
                <w:sz w:val="22"/>
                <w:szCs w:val="22"/>
              </w:rPr>
              <w:t>.</w:t>
            </w:r>
            <w:r w:rsidR="00727CDC" w:rsidRPr="007F5366">
              <w:rPr>
                <w:rFonts w:ascii="Arial" w:hAnsi="Arial" w:cs="Arial"/>
                <w:sz w:val="22"/>
                <w:szCs w:val="22"/>
              </w:rPr>
              <w:t>1</w:t>
            </w:r>
            <w:r w:rsidR="00103490" w:rsidRPr="007F5366">
              <w:rPr>
                <w:rFonts w:ascii="Arial" w:hAnsi="Arial" w:cs="Arial"/>
                <w:sz w:val="22"/>
                <w:szCs w:val="22"/>
              </w:rPr>
              <w:t>.</w:t>
            </w:r>
          </w:p>
        </w:tc>
        <w:tc>
          <w:tcPr>
            <w:tcW w:w="9786" w:type="dxa"/>
            <w:gridSpan w:val="4"/>
            <w:noWrap/>
            <w:vAlign w:val="center"/>
            <w:hideMark/>
          </w:tcPr>
          <w:p w:rsidR="00727CDC" w:rsidRPr="007F5366" w:rsidRDefault="008D5C45" w:rsidP="005053D0">
            <w:pPr>
              <w:tabs>
                <w:tab w:val="left" w:pos="6915"/>
              </w:tabs>
              <w:rPr>
                <w:rFonts w:ascii="Arial" w:hAnsi="Arial" w:cs="Arial"/>
                <w:b/>
                <w:bCs/>
                <w:sz w:val="22"/>
                <w:szCs w:val="22"/>
              </w:rPr>
            </w:pPr>
            <w:r w:rsidRPr="007F5366">
              <w:rPr>
                <w:rFonts w:ascii="Arial" w:hAnsi="Arial" w:cs="Arial"/>
                <w:b/>
                <w:bCs/>
                <w:sz w:val="22"/>
                <w:szCs w:val="22"/>
              </w:rPr>
              <w:t>Uslovi priključenja na elektroenergetsku infrastrukturu</w:t>
            </w:r>
          </w:p>
        </w:tc>
      </w:tr>
      <w:tr w:rsidR="00F04485" w:rsidRPr="007F5366" w:rsidTr="00922392">
        <w:trPr>
          <w:trHeight w:val="562"/>
          <w:jc w:val="center"/>
        </w:trPr>
        <w:tc>
          <w:tcPr>
            <w:tcW w:w="1772" w:type="dxa"/>
            <w:noWrap/>
            <w:vAlign w:val="center"/>
            <w:hideMark/>
          </w:tcPr>
          <w:p w:rsidR="00727CDC" w:rsidRPr="007F5366" w:rsidRDefault="00727CDC" w:rsidP="005053D0">
            <w:pPr>
              <w:pStyle w:val="ListParagraph"/>
              <w:tabs>
                <w:tab w:val="left" w:pos="6915"/>
              </w:tabs>
              <w:rPr>
                <w:rFonts w:ascii="Arial" w:hAnsi="Arial" w:cs="Arial"/>
                <w:sz w:val="22"/>
                <w:szCs w:val="22"/>
              </w:rPr>
            </w:pPr>
          </w:p>
        </w:tc>
        <w:tc>
          <w:tcPr>
            <w:tcW w:w="9786" w:type="dxa"/>
            <w:gridSpan w:val="4"/>
            <w:noWrap/>
            <w:hideMark/>
          </w:tcPr>
          <w:p w:rsidR="00282788" w:rsidRPr="007F5366" w:rsidRDefault="00282788" w:rsidP="00B86061">
            <w:pPr>
              <w:pStyle w:val="arial-11-justify-6ptafterChar"/>
              <w:spacing w:before="0"/>
              <w:rPr>
                <w:sz w:val="22"/>
                <w:szCs w:val="22"/>
                <w:lang w:val="pl-PL"/>
              </w:rPr>
            </w:pPr>
          </w:p>
          <w:p w:rsidR="000E4037" w:rsidRDefault="000E4037" w:rsidP="000E4037">
            <w:pPr>
              <w:jc w:val="both"/>
              <w:rPr>
                <w:rFonts w:ascii="Arial" w:hAnsi="Arial" w:cs="Arial"/>
                <w:sz w:val="22"/>
                <w:szCs w:val="22"/>
                <w:lang w:val="sr-Latn-CS"/>
              </w:rPr>
            </w:pPr>
            <w:r>
              <w:rPr>
                <w:rFonts w:ascii="Arial" w:hAnsi="Arial" w:cs="Arial"/>
                <w:sz w:val="22"/>
                <w:szCs w:val="22"/>
                <w:lang w:val="sr-Latn-CS"/>
              </w:rPr>
              <w:t>Sastavni dio Nacrta programskog zadatka sa elementima urbanističko-tehničkih uslova je akt broj 30-20-05-</w:t>
            </w:r>
            <w:r w:rsidR="00B02988">
              <w:rPr>
                <w:rFonts w:ascii="Arial" w:hAnsi="Arial" w:cs="Arial"/>
                <w:sz w:val="22"/>
                <w:szCs w:val="22"/>
                <w:lang w:val="sr-Latn-CS"/>
              </w:rPr>
              <w:t>1622</w:t>
            </w:r>
            <w:r>
              <w:rPr>
                <w:rFonts w:ascii="Arial" w:hAnsi="Arial" w:cs="Arial"/>
                <w:sz w:val="22"/>
                <w:szCs w:val="22"/>
                <w:lang w:val="sr-Latn-CS"/>
              </w:rPr>
              <w:t xml:space="preserve">/1 od </w:t>
            </w:r>
            <w:r w:rsidR="00B02988">
              <w:rPr>
                <w:rFonts w:ascii="Arial" w:hAnsi="Arial" w:cs="Arial"/>
                <w:sz w:val="22"/>
                <w:szCs w:val="22"/>
                <w:lang w:val="sr-Latn-CS"/>
              </w:rPr>
              <w:t>04</w:t>
            </w:r>
            <w:r>
              <w:rPr>
                <w:rFonts w:ascii="Arial" w:hAnsi="Arial" w:cs="Arial"/>
                <w:sz w:val="22"/>
                <w:szCs w:val="22"/>
                <w:lang w:val="sr-Latn-CS"/>
              </w:rPr>
              <w:t>.0</w:t>
            </w:r>
            <w:r w:rsidR="00B02988">
              <w:rPr>
                <w:rFonts w:ascii="Arial" w:hAnsi="Arial" w:cs="Arial"/>
                <w:sz w:val="22"/>
                <w:szCs w:val="22"/>
                <w:lang w:val="sr-Latn-CS"/>
              </w:rPr>
              <w:t>5</w:t>
            </w:r>
            <w:r>
              <w:rPr>
                <w:rFonts w:ascii="Arial" w:hAnsi="Arial" w:cs="Arial"/>
                <w:sz w:val="22"/>
                <w:szCs w:val="22"/>
                <w:lang w:val="sr-Latn-CS"/>
              </w:rPr>
              <w:t>.2022.godine izdat od strane „Crnogorskog elektrodistributivnog sistema“ doo.</w:t>
            </w:r>
          </w:p>
          <w:p w:rsidR="000E4037" w:rsidRDefault="000E4037" w:rsidP="000E4037">
            <w:pPr>
              <w:jc w:val="both"/>
              <w:rPr>
                <w:rFonts w:ascii="Arial" w:hAnsi="Arial" w:cs="Arial"/>
                <w:sz w:val="22"/>
                <w:szCs w:val="22"/>
                <w:lang w:val="sr-Latn-CS"/>
              </w:rPr>
            </w:pPr>
            <w:r>
              <w:rPr>
                <w:rFonts w:ascii="Arial" w:hAnsi="Arial" w:cs="Arial"/>
                <w:sz w:val="22"/>
                <w:szCs w:val="22"/>
                <w:lang w:val="sr-Latn-CS"/>
              </w:rPr>
              <w:t xml:space="preserve">Sastavni dio Nacrta programskog zadatka sa elementima urbanističko-tehničkih uslova je akt broj </w:t>
            </w:r>
            <w:r w:rsidR="00B02988">
              <w:rPr>
                <w:rFonts w:ascii="Arial" w:hAnsi="Arial" w:cs="Arial"/>
                <w:sz w:val="22"/>
                <w:szCs w:val="22"/>
                <w:lang w:val="sr-Latn-CS"/>
              </w:rPr>
              <w:t>7021-D/22-123</w:t>
            </w:r>
            <w:r>
              <w:rPr>
                <w:rFonts w:ascii="Arial" w:hAnsi="Arial" w:cs="Arial"/>
                <w:sz w:val="22"/>
                <w:szCs w:val="22"/>
                <w:lang w:val="sr-Latn-CS"/>
              </w:rPr>
              <w:t xml:space="preserve"> od </w:t>
            </w:r>
            <w:r w:rsidR="00B02988">
              <w:rPr>
                <w:rFonts w:ascii="Arial" w:hAnsi="Arial" w:cs="Arial"/>
                <w:sz w:val="22"/>
                <w:szCs w:val="22"/>
                <w:lang w:val="sr-Latn-CS"/>
              </w:rPr>
              <w:t>2</w:t>
            </w:r>
            <w:r>
              <w:rPr>
                <w:rFonts w:ascii="Arial" w:hAnsi="Arial" w:cs="Arial"/>
                <w:sz w:val="22"/>
                <w:szCs w:val="22"/>
                <w:lang w:val="sr-Latn-CS"/>
              </w:rPr>
              <w:t>7.04.2022.godine izdat od strane „Crnogorskog elektroprenosnog sistema“ AD.</w:t>
            </w:r>
          </w:p>
          <w:p w:rsidR="00AA4885" w:rsidRPr="007F5366" w:rsidRDefault="00AA4885" w:rsidP="003F3A4A">
            <w:pPr>
              <w:tabs>
                <w:tab w:val="left" w:pos="142"/>
              </w:tabs>
              <w:spacing w:line="20" w:lineRule="atLeast"/>
              <w:jc w:val="both"/>
              <w:rPr>
                <w:rFonts w:ascii="Arial" w:hAnsi="Arial" w:cs="Arial"/>
                <w:sz w:val="22"/>
                <w:szCs w:val="22"/>
                <w:lang w:val="sl-SI"/>
              </w:rPr>
            </w:pPr>
          </w:p>
        </w:tc>
      </w:tr>
      <w:tr w:rsidR="00F04485" w:rsidRPr="007F5366" w:rsidTr="00922392">
        <w:trPr>
          <w:trHeight w:val="300"/>
          <w:jc w:val="center"/>
        </w:trPr>
        <w:tc>
          <w:tcPr>
            <w:tcW w:w="1772" w:type="dxa"/>
            <w:noWrap/>
            <w:vAlign w:val="center"/>
            <w:hideMark/>
          </w:tcPr>
          <w:p w:rsidR="00727CDC" w:rsidRPr="007F5366" w:rsidRDefault="00922392" w:rsidP="00922392">
            <w:pPr>
              <w:tabs>
                <w:tab w:val="left" w:pos="6915"/>
              </w:tabs>
              <w:ind w:left="34" w:firstLine="691"/>
              <w:rPr>
                <w:rFonts w:ascii="Arial" w:hAnsi="Arial" w:cs="Arial"/>
                <w:sz w:val="22"/>
                <w:szCs w:val="22"/>
              </w:rPr>
            </w:pPr>
            <w:r>
              <w:rPr>
                <w:rFonts w:ascii="Arial" w:hAnsi="Arial" w:cs="Arial"/>
                <w:sz w:val="22"/>
                <w:szCs w:val="22"/>
              </w:rPr>
              <w:t>14</w:t>
            </w:r>
            <w:r w:rsidR="00103490" w:rsidRPr="007F5366">
              <w:rPr>
                <w:rFonts w:ascii="Arial" w:hAnsi="Arial" w:cs="Arial"/>
                <w:sz w:val="22"/>
                <w:szCs w:val="22"/>
              </w:rPr>
              <w:t>.</w:t>
            </w:r>
            <w:r w:rsidR="00727CDC" w:rsidRPr="007F5366">
              <w:rPr>
                <w:rFonts w:ascii="Arial" w:hAnsi="Arial" w:cs="Arial"/>
                <w:sz w:val="22"/>
                <w:szCs w:val="22"/>
              </w:rPr>
              <w:t>2</w:t>
            </w:r>
            <w:r w:rsidR="00103490" w:rsidRPr="007F5366">
              <w:rPr>
                <w:rFonts w:ascii="Arial" w:hAnsi="Arial" w:cs="Arial"/>
                <w:sz w:val="22"/>
                <w:szCs w:val="22"/>
              </w:rPr>
              <w:t>.</w:t>
            </w:r>
          </w:p>
        </w:tc>
        <w:tc>
          <w:tcPr>
            <w:tcW w:w="9786" w:type="dxa"/>
            <w:gridSpan w:val="4"/>
            <w:noWrap/>
            <w:vAlign w:val="center"/>
            <w:hideMark/>
          </w:tcPr>
          <w:p w:rsidR="00727CDC" w:rsidRPr="007F5366" w:rsidRDefault="008D5C45" w:rsidP="005053D0">
            <w:pPr>
              <w:tabs>
                <w:tab w:val="left" w:pos="6915"/>
              </w:tabs>
              <w:rPr>
                <w:rFonts w:ascii="Arial" w:hAnsi="Arial" w:cs="Arial"/>
                <w:b/>
                <w:bCs/>
                <w:sz w:val="22"/>
                <w:szCs w:val="22"/>
              </w:rPr>
            </w:pPr>
            <w:r w:rsidRPr="007F5366">
              <w:rPr>
                <w:rFonts w:ascii="Arial" w:hAnsi="Arial" w:cs="Arial"/>
                <w:b/>
                <w:bCs/>
                <w:sz w:val="22"/>
                <w:szCs w:val="22"/>
              </w:rPr>
              <w:t>Uslovi priključenja na vodovodnu i kanalizacionu infrastrukturu</w:t>
            </w:r>
          </w:p>
        </w:tc>
      </w:tr>
      <w:tr w:rsidR="00F04485" w:rsidRPr="007F5366" w:rsidTr="00922392">
        <w:trPr>
          <w:trHeight w:val="840"/>
          <w:jc w:val="center"/>
        </w:trPr>
        <w:tc>
          <w:tcPr>
            <w:tcW w:w="1772" w:type="dxa"/>
            <w:noWrap/>
            <w:vAlign w:val="center"/>
            <w:hideMark/>
          </w:tcPr>
          <w:p w:rsidR="00727CDC" w:rsidRPr="007F5366" w:rsidRDefault="00727CDC" w:rsidP="005053D0">
            <w:pPr>
              <w:pStyle w:val="ListParagraph"/>
              <w:tabs>
                <w:tab w:val="left" w:pos="6915"/>
              </w:tabs>
              <w:rPr>
                <w:rFonts w:ascii="Arial" w:hAnsi="Arial" w:cs="Arial"/>
                <w:sz w:val="22"/>
                <w:szCs w:val="22"/>
              </w:rPr>
            </w:pPr>
          </w:p>
        </w:tc>
        <w:tc>
          <w:tcPr>
            <w:tcW w:w="9786" w:type="dxa"/>
            <w:gridSpan w:val="4"/>
            <w:noWrap/>
            <w:hideMark/>
          </w:tcPr>
          <w:p w:rsidR="000E4037" w:rsidRPr="007F5366" w:rsidRDefault="000E4037" w:rsidP="000E4037">
            <w:pPr>
              <w:pStyle w:val="arial-11-justify-6ptafterChar"/>
              <w:spacing w:before="0"/>
              <w:rPr>
                <w:sz w:val="22"/>
                <w:szCs w:val="22"/>
                <w:lang w:val="pl-PL"/>
              </w:rPr>
            </w:pPr>
            <w:r>
              <w:rPr>
                <w:sz w:val="22"/>
                <w:szCs w:val="22"/>
                <w:lang w:val="sr-Latn-CS"/>
              </w:rPr>
              <w:t xml:space="preserve">Sastavni dio Nacrta programskog zadatka sa elementima urbanističko-tehničkih uslova je akt broj </w:t>
            </w:r>
            <w:r w:rsidR="00B02988">
              <w:rPr>
                <w:sz w:val="22"/>
                <w:szCs w:val="22"/>
                <w:lang w:val="sr-Latn-CS"/>
              </w:rPr>
              <w:t>528</w:t>
            </w:r>
            <w:r>
              <w:rPr>
                <w:sz w:val="22"/>
                <w:szCs w:val="22"/>
                <w:lang w:val="sr-Latn-CS"/>
              </w:rPr>
              <w:t xml:space="preserve">/1 od </w:t>
            </w:r>
            <w:r w:rsidR="00B02988">
              <w:rPr>
                <w:sz w:val="22"/>
                <w:szCs w:val="22"/>
                <w:lang w:val="sr-Latn-CS"/>
              </w:rPr>
              <w:t>21</w:t>
            </w:r>
            <w:r>
              <w:rPr>
                <w:sz w:val="22"/>
                <w:szCs w:val="22"/>
                <w:lang w:val="sr-Latn-CS"/>
              </w:rPr>
              <w:t>.0</w:t>
            </w:r>
            <w:r w:rsidR="00B02988">
              <w:rPr>
                <w:sz w:val="22"/>
                <w:szCs w:val="22"/>
                <w:lang w:val="sr-Latn-CS"/>
              </w:rPr>
              <w:t>4</w:t>
            </w:r>
            <w:r>
              <w:rPr>
                <w:sz w:val="22"/>
                <w:szCs w:val="22"/>
                <w:lang w:val="sr-Latn-CS"/>
              </w:rPr>
              <w:t>.2022.godine izdat od strane „Vodovod i kanalizacija“ doo</w:t>
            </w:r>
          </w:p>
          <w:p w:rsidR="00A903A0" w:rsidRPr="007F5366" w:rsidRDefault="00A903A0" w:rsidP="008C6F08">
            <w:pPr>
              <w:pStyle w:val="BodyText"/>
              <w:jc w:val="both"/>
              <w:rPr>
                <w:rFonts w:ascii="Arial" w:hAnsi="Arial" w:cs="Arial"/>
                <w:sz w:val="22"/>
                <w:szCs w:val="22"/>
              </w:rPr>
            </w:pPr>
          </w:p>
        </w:tc>
      </w:tr>
      <w:tr w:rsidR="00F04485" w:rsidRPr="007F5366" w:rsidTr="00922392">
        <w:trPr>
          <w:trHeight w:val="300"/>
          <w:jc w:val="center"/>
        </w:trPr>
        <w:tc>
          <w:tcPr>
            <w:tcW w:w="1772" w:type="dxa"/>
            <w:noWrap/>
            <w:vAlign w:val="center"/>
            <w:hideMark/>
          </w:tcPr>
          <w:p w:rsidR="00727CDC" w:rsidRPr="007F5366" w:rsidRDefault="00922392" w:rsidP="00922392">
            <w:pPr>
              <w:tabs>
                <w:tab w:val="left" w:pos="6915"/>
              </w:tabs>
              <w:ind w:left="34" w:firstLine="691"/>
              <w:rPr>
                <w:rFonts w:ascii="Arial" w:hAnsi="Arial" w:cs="Arial"/>
                <w:sz w:val="22"/>
                <w:szCs w:val="22"/>
              </w:rPr>
            </w:pPr>
            <w:r>
              <w:rPr>
                <w:rFonts w:ascii="Arial" w:hAnsi="Arial" w:cs="Arial"/>
                <w:sz w:val="22"/>
                <w:szCs w:val="22"/>
              </w:rPr>
              <w:t>14</w:t>
            </w:r>
            <w:r w:rsidR="00727CDC" w:rsidRPr="007F5366">
              <w:rPr>
                <w:rFonts w:ascii="Arial" w:hAnsi="Arial" w:cs="Arial"/>
                <w:sz w:val="22"/>
                <w:szCs w:val="22"/>
              </w:rPr>
              <w:t>.3</w:t>
            </w:r>
            <w:r w:rsidR="008D5C45" w:rsidRPr="007F5366">
              <w:rPr>
                <w:rFonts w:ascii="Arial" w:hAnsi="Arial" w:cs="Arial"/>
                <w:sz w:val="22"/>
                <w:szCs w:val="22"/>
              </w:rPr>
              <w:t>.</w:t>
            </w:r>
          </w:p>
        </w:tc>
        <w:tc>
          <w:tcPr>
            <w:tcW w:w="9786" w:type="dxa"/>
            <w:gridSpan w:val="4"/>
            <w:noWrap/>
            <w:vAlign w:val="center"/>
            <w:hideMark/>
          </w:tcPr>
          <w:p w:rsidR="00727CDC" w:rsidRPr="007F5366" w:rsidRDefault="008D5C45" w:rsidP="005053D0">
            <w:pPr>
              <w:tabs>
                <w:tab w:val="left" w:pos="6915"/>
              </w:tabs>
              <w:rPr>
                <w:rFonts w:ascii="Arial" w:hAnsi="Arial" w:cs="Arial"/>
                <w:b/>
                <w:bCs/>
                <w:sz w:val="22"/>
                <w:szCs w:val="22"/>
              </w:rPr>
            </w:pPr>
            <w:r w:rsidRPr="007F5366">
              <w:rPr>
                <w:rFonts w:ascii="Arial" w:hAnsi="Arial" w:cs="Arial"/>
                <w:b/>
                <w:bCs/>
                <w:sz w:val="22"/>
                <w:szCs w:val="22"/>
              </w:rPr>
              <w:t>Uslovi priključenja na saobraćajnu infrastrukturu</w:t>
            </w:r>
          </w:p>
        </w:tc>
      </w:tr>
      <w:tr w:rsidR="00F04485" w:rsidRPr="007F5366" w:rsidTr="00922392">
        <w:trPr>
          <w:trHeight w:val="676"/>
          <w:jc w:val="center"/>
        </w:trPr>
        <w:tc>
          <w:tcPr>
            <w:tcW w:w="1772" w:type="dxa"/>
            <w:noWrap/>
            <w:vAlign w:val="center"/>
            <w:hideMark/>
          </w:tcPr>
          <w:p w:rsidR="00727CDC" w:rsidRPr="007F5366" w:rsidRDefault="00727CDC" w:rsidP="005053D0">
            <w:pPr>
              <w:pStyle w:val="ListParagraph"/>
              <w:tabs>
                <w:tab w:val="left" w:pos="6915"/>
              </w:tabs>
              <w:rPr>
                <w:rFonts w:ascii="Arial" w:hAnsi="Arial" w:cs="Arial"/>
                <w:sz w:val="22"/>
                <w:szCs w:val="22"/>
              </w:rPr>
            </w:pPr>
          </w:p>
        </w:tc>
        <w:tc>
          <w:tcPr>
            <w:tcW w:w="9786" w:type="dxa"/>
            <w:gridSpan w:val="4"/>
            <w:noWrap/>
            <w:hideMark/>
          </w:tcPr>
          <w:p w:rsidR="00824714" w:rsidRDefault="00824714" w:rsidP="003B0E4F">
            <w:pPr>
              <w:tabs>
                <w:tab w:val="left" w:pos="6915"/>
              </w:tabs>
              <w:jc w:val="both"/>
              <w:rPr>
                <w:rFonts w:ascii="Arial" w:hAnsi="Arial" w:cs="Arial"/>
                <w:sz w:val="22"/>
                <w:szCs w:val="22"/>
              </w:rPr>
            </w:pPr>
          </w:p>
          <w:p w:rsidR="000E4037" w:rsidRDefault="000E4037" w:rsidP="000E4037">
            <w:pPr>
              <w:jc w:val="both"/>
              <w:rPr>
                <w:rFonts w:ascii="Arial" w:hAnsi="Arial" w:cs="Arial"/>
                <w:sz w:val="22"/>
                <w:szCs w:val="22"/>
                <w:lang w:val="sr-Latn-CS"/>
              </w:rPr>
            </w:pPr>
            <w:r>
              <w:rPr>
                <w:rFonts w:ascii="Arial" w:hAnsi="Arial" w:cs="Arial"/>
                <w:sz w:val="22"/>
                <w:szCs w:val="22"/>
                <w:lang w:val="sr-Latn-CS"/>
              </w:rPr>
              <w:t>Sastavni dio Nacrta programskog zadatka sa elementima urbanističko-tehničkih uslova je akt broj 10-341/22-90/1 od 12.04.2022.godine izdat od strane Sekretarijata za privredu.</w:t>
            </w:r>
          </w:p>
          <w:p w:rsidR="000E4037" w:rsidRDefault="000E4037" w:rsidP="000E4037">
            <w:pPr>
              <w:jc w:val="both"/>
              <w:rPr>
                <w:rFonts w:ascii="Arial" w:hAnsi="Arial" w:cs="Arial"/>
                <w:b/>
                <w:sz w:val="22"/>
                <w:szCs w:val="22"/>
              </w:rPr>
            </w:pPr>
            <w:r w:rsidRPr="008946DE">
              <w:rPr>
                <w:rFonts w:ascii="Arial" w:hAnsi="Arial" w:cs="Arial"/>
                <w:b/>
                <w:sz w:val="22"/>
                <w:szCs w:val="22"/>
              </w:rPr>
              <w:t xml:space="preserve">Ovaj organ se, shodno odredbama člana </w:t>
            </w:r>
            <w:r w:rsidRPr="00127A72">
              <w:rPr>
                <w:rFonts w:ascii="Arial" w:hAnsi="Arial" w:cs="Arial"/>
                <w:b/>
                <w:sz w:val="22"/>
                <w:szCs w:val="22"/>
              </w:rPr>
              <w:t>8 Odluke o izgradnji lokalnih objekata od opšteg interesa („Sl.list CG“-opštinski propisi , broj 018/14,042/15,028/16, 007/21)</w:t>
            </w:r>
            <w:r w:rsidRPr="008946DE">
              <w:rPr>
                <w:rFonts w:ascii="Arial" w:hAnsi="Arial" w:cs="Arial"/>
                <w:b/>
                <w:sz w:val="22"/>
                <w:szCs w:val="22"/>
              </w:rPr>
              <w:t>, obr</w:t>
            </w:r>
            <w:r>
              <w:rPr>
                <w:rFonts w:ascii="Arial" w:hAnsi="Arial" w:cs="Arial"/>
                <w:b/>
                <w:sz w:val="22"/>
                <w:szCs w:val="22"/>
              </w:rPr>
              <w:t>atio zahtjevom br. 09-332/21-360/1 od 25.03</w:t>
            </w:r>
            <w:r w:rsidRPr="008946DE">
              <w:rPr>
                <w:rFonts w:ascii="Arial" w:hAnsi="Arial" w:cs="Arial"/>
                <w:b/>
                <w:sz w:val="22"/>
                <w:szCs w:val="22"/>
              </w:rPr>
              <w:t>.202</w:t>
            </w:r>
            <w:r>
              <w:rPr>
                <w:rFonts w:ascii="Arial" w:hAnsi="Arial" w:cs="Arial"/>
                <w:b/>
                <w:sz w:val="22"/>
                <w:szCs w:val="22"/>
              </w:rPr>
              <w:t>2</w:t>
            </w:r>
            <w:r w:rsidR="00B02988">
              <w:rPr>
                <w:rFonts w:ascii="Arial" w:hAnsi="Arial" w:cs="Arial"/>
                <w:b/>
                <w:sz w:val="22"/>
                <w:szCs w:val="22"/>
              </w:rPr>
              <w:t>. godine Ministarstvu kapitalnih investicija, Direktorat za drumski saobraćaj</w:t>
            </w:r>
            <w:r w:rsidRPr="008946DE">
              <w:rPr>
                <w:rFonts w:ascii="Arial" w:hAnsi="Arial" w:cs="Arial"/>
                <w:b/>
                <w:sz w:val="22"/>
                <w:szCs w:val="22"/>
              </w:rPr>
              <w:t>, a radi</w:t>
            </w:r>
            <w:r>
              <w:rPr>
                <w:rFonts w:ascii="Arial" w:hAnsi="Arial" w:cs="Arial"/>
                <w:b/>
                <w:sz w:val="22"/>
                <w:szCs w:val="22"/>
              </w:rPr>
              <w:t xml:space="preserve"> dostavljanja</w:t>
            </w:r>
            <w:r w:rsidRPr="008946DE">
              <w:rPr>
                <w:rFonts w:ascii="Arial" w:hAnsi="Arial" w:cs="Arial"/>
                <w:b/>
                <w:sz w:val="22"/>
                <w:szCs w:val="22"/>
              </w:rPr>
              <w:t xml:space="preserve"> </w:t>
            </w:r>
            <w:r w:rsidRPr="00127A72">
              <w:rPr>
                <w:rFonts w:ascii="Arial" w:hAnsi="Arial" w:cs="Arial"/>
                <w:b/>
                <w:sz w:val="22"/>
                <w:szCs w:val="22"/>
              </w:rPr>
              <w:t>mišljenja institucija za koje cijeni da mogu biti od značaja za izradu programskog zadatka</w:t>
            </w:r>
            <w:r>
              <w:rPr>
                <w:rFonts w:ascii="Arial" w:hAnsi="Arial" w:cs="Arial"/>
                <w:b/>
                <w:sz w:val="22"/>
                <w:szCs w:val="22"/>
              </w:rPr>
              <w:t>.</w:t>
            </w:r>
          </w:p>
          <w:p w:rsidR="000E4037" w:rsidRDefault="000E4037" w:rsidP="000E4037">
            <w:pPr>
              <w:jc w:val="both"/>
              <w:rPr>
                <w:rFonts w:ascii="Arial" w:hAnsi="Arial" w:cs="Arial"/>
                <w:b/>
                <w:sz w:val="22"/>
                <w:szCs w:val="22"/>
              </w:rPr>
            </w:pPr>
            <w:r w:rsidRPr="008946DE">
              <w:rPr>
                <w:rFonts w:ascii="Arial" w:hAnsi="Arial" w:cs="Arial"/>
                <w:b/>
                <w:sz w:val="22"/>
                <w:szCs w:val="22"/>
              </w:rPr>
              <w:t>Zah</w:t>
            </w:r>
            <w:r>
              <w:rPr>
                <w:rFonts w:ascii="Arial" w:hAnsi="Arial" w:cs="Arial"/>
                <w:b/>
                <w:sz w:val="22"/>
                <w:szCs w:val="22"/>
              </w:rPr>
              <w:t xml:space="preserve">tjev je preuzeo primalac </w:t>
            </w:r>
            <w:r w:rsidR="00B02988">
              <w:rPr>
                <w:rFonts w:ascii="Arial" w:hAnsi="Arial" w:cs="Arial"/>
                <w:b/>
                <w:sz w:val="22"/>
                <w:szCs w:val="22"/>
              </w:rPr>
              <w:t>2</w:t>
            </w:r>
            <w:r>
              <w:rPr>
                <w:rFonts w:ascii="Arial" w:hAnsi="Arial" w:cs="Arial"/>
                <w:b/>
                <w:sz w:val="22"/>
                <w:szCs w:val="22"/>
              </w:rPr>
              <w:t>1.04.2022</w:t>
            </w:r>
            <w:r w:rsidRPr="008946DE">
              <w:rPr>
                <w:rFonts w:ascii="Arial" w:hAnsi="Arial" w:cs="Arial"/>
                <w:b/>
                <w:sz w:val="22"/>
                <w:szCs w:val="22"/>
              </w:rPr>
              <w:t xml:space="preserve">.godine o čemu svjedoči </w:t>
            </w:r>
            <w:r>
              <w:rPr>
                <w:rFonts w:ascii="Arial" w:hAnsi="Arial" w:cs="Arial"/>
                <w:b/>
                <w:sz w:val="22"/>
                <w:szCs w:val="22"/>
              </w:rPr>
              <w:t>povratnica u spisima predmeta</w:t>
            </w:r>
            <w:r w:rsidRPr="008946DE">
              <w:rPr>
                <w:rFonts w:ascii="Arial" w:hAnsi="Arial" w:cs="Arial"/>
                <w:b/>
                <w:sz w:val="22"/>
                <w:szCs w:val="22"/>
              </w:rPr>
              <w:t xml:space="preserve">, a podaci od strane </w:t>
            </w:r>
            <w:r w:rsidR="00B02988">
              <w:rPr>
                <w:rFonts w:ascii="Arial" w:hAnsi="Arial" w:cs="Arial"/>
                <w:b/>
                <w:sz w:val="22"/>
                <w:szCs w:val="22"/>
              </w:rPr>
              <w:t>Ministarstv</w:t>
            </w:r>
            <w:r w:rsidR="00B02988">
              <w:rPr>
                <w:rFonts w:ascii="Arial" w:hAnsi="Arial" w:cs="Arial"/>
                <w:b/>
                <w:sz w:val="22"/>
                <w:szCs w:val="22"/>
              </w:rPr>
              <w:t>a</w:t>
            </w:r>
            <w:r w:rsidR="00B02988">
              <w:rPr>
                <w:rFonts w:ascii="Arial" w:hAnsi="Arial" w:cs="Arial"/>
                <w:b/>
                <w:sz w:val="22"/>
                <w:szCs w:val="22"/>
              </w:rPr>
              <w:t xml:space="preserve"> kapitalnih investicija, Direktorat</w:t>
            </w:r>
            <w:r w:rsidR="00B02988">
              <w:rPr>
                <w:rFonts w:ascii="Arial" w:hAnsi="Arial" w:cs="Arial"/>
                <w:b/>
                <w:sz w:val="22"/>
                <w:szCs w:val="22"/>
              </w:rPr>
              <w:t>a</w:t>
            </w:r>
            <w:r w:rsidR="00B02988">
              <w:rPr>
                <w:rFonts w:ascii="Arial" w:hAnsi="Arial" w:cs="Arial"/>
                <w:b/>
                <w:sz w:val="22"/>
                <w:szCs w:val="22"/>
              </w:rPr>
              <w:t xml:space="preserve"> za drumski saobraćaj</w:t>
            </w:r>
            <w:r w:rsidR="00B02988" w:rsidRPr="008946DE">
              <w:rPr>
                <w:rFonts w:ascii="Arial" w:hAnsi="Arial" w:cs="Arial"/>
                <w:b/>
                <w:sz w:val="22"/>
                <w:szCs w:val="22"/>
              </w:rPr>
              <w:t>,</w:t>
            </w:r>
            <w:r>
              <w:rPr>
                <w:rFonts w:ascii="Arial" w:hAnsi="Arial" w:cs="Arial"/>
                <w:b/>
                <w:sz w:val="22"/>
                <w:szCs w:val="22"/>
              </w:rPr>
              <w:t xml:space="preserve"> nisu nam dostavljeni u </w:t>
            </w:r>
            <w:r w:rsidRPr="008946DE">
              <w:rPr>
                <w:rFonts w:ascii="Arial" w:hAnsi="Arial" w:cs="Arial"/>
                <w:b/>
                <w:sz w:val="22"/>
                <w:szCs w:val="22"/>
              </w:rPr>
              <w:t xml:space="preserve"> propisanom roku od 15 dana.</w:t>
            </w:r>
          </w:p>
          <w:p w:rsidR="00B02988" w:rsidRDefault="00B02988" w:rsidP="00B02988">
            <w:pPr>
              <w:jc w:val="both"/>
              <w:rPr>
                <w:rFonts w:ascii="Arial" w:hAnsi="Arial" w:cs="Arial"/>
                <w:sz w:val="22"/>
                <w:szCs w:val="22"/>
                <w:lang w:val="sr-Latn-CS"/>
              </w:rPr>
            </w:pPr>
            <w:r>
              <w:rPr>
                <w:rFonts w:ascii="Arial" w:hAnsi="Arial" w:cs="Arial"/>
                <w:sz w:val="22"/>
                <w:szCs w:val="22"/>
                <w:lang w:val="sr-Latn-CS"/>
              </w:rPr>
              <w:lastRenderedPageBreak/>
              <w:t>Sastavni dio Nacrta programskog zadatka sa elementima urbanističko-tehničkih uslova je akt broj 10-341/22-</w:t>
            </w:r>
            <w:r w:rsidR="00502A03">
              <w:rPr>
                <w:rFonts w:ascii="Arial" w:hAnsi="Arial" w:cs="Arial"/>
                <w:sz w:val="22"/>
                <w:szCs w:val="22"/>
                <w:lang w:val="sr-Latn-CS"/>
              </w:rPr>
              <w:t>114</w:t>
            </w:r>
            <w:r>
              <w:rPr>
                <w:rFonts w:ascii="Arial" w:hAnsi="Arial" w:cs="Arial"/>
                <w:sz w:val="22"/>
                <w:szCs w:val="22"/>
                <w:lang w:val="sr-Latn-CS"/>
              </w:rPr>
              <w:t>/1 od 2</w:t>
            </w:r>
            <w:r w:rsidR="00502A03">
              <w:rPr>
                <w:rFonts w:ascii="Arial" w:hAnsi="Arial" w:cs="Arial"/>
                <w:sz w:val="22"/>
                <w:szCs w:val="22"/>
                <w:lang w:val="sr-Latn-CS"/>
              </w:rPr>
              <w:t>1</w:t>
            </w:r>
            <w:r>
              <w:rPr>
                <w:rFonts w:ascii="Arial" w:hAnsi="Arial" w:cs="Arial"/>
                <w:sz w:val="22"/>
                <w:szCs w:val="22"/>
                <w:lang w:val="sr-Latn-CS"/>
              </w:rPr>
              <w:t>.04.2022.godine izdat od strane Sekretarijata za privredu.</w:t>
            </w:r>
          </w:p>
          <w:p w:rsidR="00004A1F" w:rsidRPr="00004A1F" w:rsidRDefault="00004A1F" w:rsidP="008C6F08">
            <w:pPr>
              <w:jc w:val="both"/>
              <w:rPr>
                <w:rFonts w:ascii="Arial" w:hAnsi="Arial" w:cs="Arial"/>
                <w:sz w:val="22"/>
                <w:szCs w:val="22"/>
              </w:rPr>
            </w:pPr>
          </w:p>
        </w:tc>
      </w:tr>
      <w:tr w:rsidR="00F04485" w:rsidRPr="007F5366" w:rsidTr="00922392">
        <w:trPr>
          <w:trHeight w:val="300"/>
          <w:jc w:val="center"/>
        </w:trPr>
        <w:tc>
          <w:tcPr>
            <w:tcW w:w="1772" w:type="dxa"/>
            <w:noWrap/>
            <w:vAlign w:val="center"/>
            <w:hideMark/>
          </w:tcPr>
          <w:p w:rsidR="00727CDC" w:rsidRPr="007F5366" w:rsidRDefault="00922392" w:rsidP="00922392">
            <w:pPr>
              <w:tabs>
                <w:tab w:val="left" w:pos="6915"/>
              </w:tabs>
              <w:ind w:left="34" w:firstLine="691"/>
              <w:rPr>
                <w:rFonts w:ascii="Arial" w:hAnsi="Arial" w:cs="Arial"/>
                <w:sz w:val="22"/>
                <w:szCs w:val="22"/>
              </w:rPr>
            </w:pPr>
            <w:r>
              <w:rPr>
                <w:rFonts w:ascii="Arial" w:hAnsi="Arial" w:cs="Arial"/>
                <w:sz w:val="22"/>
                <w:szCs w:val="22"/>
              </w:rPr>
              <w:lastRenderedPageBreak/>
              <w:t>14</w:t>
            </w:r>
            <w:r w:rsidR="005B5E10" w:rsidRPr="007F5366">
              <w:rPr>
                <w:rFonts w:ascii="Arial" w:hAnsi="Arial" w:cs="Arial"/>
                <w:sz w:val="22"/>
                <w:szCs w:val="22"/>
              </w:rPr>
              <w:t>.4.</w:t>
            </w:r>
          </w:p>
        </w:tc>
        <w:tc>
          <w:tcPr>
            <w:tcW w:w="9786" w:type="dxa"/>
            <w:gridSpan w:val="4"/>
            <w:noWrap/>
            <w:hideMark/>
          </w:tcPr>
          <w:p w:rsidR="00727CDC" w:rsidRPr="007F5366" w:rsidRDefault="00727CDC" w:rsidP="00DA3992">
            <w:pPr>
              <w:tabs>
                <w:tab w:val="left" w:pos="6915"/>
              </w:tabs>
              <w:jc w:val="both"/>
              <w:rPr>
                <w:rFonts w:ascii="Arial" w:hAnsi="Arial" w:cs="Arial"/>
                <w:b/>
                <w:sz w:val="22"/>
                <w:szCs w:val="22"/>
              </w:rPr>
            </w:pPr>
            <w:r w:rsidRPr="007F5366">
              <w:rPr>
                <w:rFonts w:ascii="Arial" w:hAnsi="Arial" w:cs="Arial"/>
                <w:sz w:val="22"/>
                <w:szCs w:val="22"/>
              </w:rPr>
              <w:t> </w:t>
            </w:r>
            <w:r w:rsidR="00DA3992" w:rsidRPr="007F5366">
              <w:rPr>
                <w:rFonts w:ascii="Arial" w:hAnsi="Arial" w:cs="Arial"/>
                <w:b/>
                <w:sz w:val="22"/>
                <w:szCs w:val="22"/>
              </w:rPr>
              <w:t>Uslovi priključenja na telekomunikacionu infrastrukturu</w:t>
            </w:r>
          </w:p>
        </w:tc>
      </w:tr>
      <w:tr w:rsidR="005B5E10" w:rsidRPr="007F5366" w:rsidTr="00922392">
        <w:trPr>
          <w:trHeight w:val="840"/>
          <w:jc w:val="center"/>
        </w:trPr>
        <w:tc>
          <w:tcPr>
            <w:tcW w:w="1772" w:type="dxa"/>
            <w:noWrap/>
            <w:vAlign w:val="center"/>
            <w:hideMark/>
          </w:tcPr>
          <w:p w:rsidR="005B5E10" w:rsidRPr="007F5366" w:rsidRDefault="005B5E10" w:rsidP="005053D0">
            <w:pPr>
              <w:pStyle w:val="ListParagraph"/>
              <w:tabs>
                <w:tab w:val="left" w:pos="6915"/>
              </w:tabs>
              <w:rPr>
                <w:rFonts w:ascii="Arial" w:hAnsi="Arial" w:cs="Arial"/>
                <w:sz w:val="22"/>
                <w:szCs w:val="22"/>
              </w:rPr>
            </w:pPr>
          </w:p>
        </w:tc>
        <w:tc>
          <w:tcPr>
            <w:tcW w:w="9786" w:type="dxa"/>
            <w:gridSpan w:val="4"/>
            <w:noWrap/>
            <w:hideMark/>
          </w:tcPr>
          <w:p w:rsidR="00203B52" w:rsidRPr="007F5366" w:rsidRDefault="00203B52" w:rsidP="00715526">
            <w:pPr>
              <w:jc w:val="both"/>
              <w:rPr>
                <w:rFonts w:ascii="Arial" w:eastAsia="Times New Roman" w:hAnsi="Arial" w:cs="Arial"/>
                <w:sz w:val="22"/>
                <w:szCs w:val="22"/>
                <w:lang w:val="hr-HR" w:eastAsia="hr-HR"/>
              </w:rPr>
            </w:pPr>
          </w:p>
          <w:p w:rsidR="000E4037" w:rsidRPr="007F5366" w:rsidRDefault="000E4037" w:rsidP="000E4037">
            <w:pPr>
              <w:jc w:val="both"/>
              <w:rPr>
                <w:rFonts w:ascii="Arial" w:eastAsia="Times New Roman" w:hAnsi="Arial" w:cs="Arial"/>
                <w:sz w:val="22"/>
                <w:szCs w:val="22"/>
                <w:lang w:val="hr-HR" w:eastAsia="hr-HR"/>
              </w:rPr>
            </w:pPr>
            <w:r w:rsidRPr="007F5366">
              <w:rPr>
                <w:rFonts w:ascii="Arial" w:eastAsia="Times New Roman" w:hAnsi="Arial" w:cs="Arial"/>
                <w:sz w:val="22"/>
                <w:szCs w:val="22"/>
                <w:lang w:val="hr-HR" w:eastAsia="hr-HR"/>
              </w:rPr>
              <w:t>Sastavni dio ovih urbanističko-tehničkih uslova su:</w:t>
            </w:r>
          </w:p>
          <w:p w:rsidR="000E4037" w:rsidRDefault="000E4037" w:rsidP="000E4037">
            <w:pPr>
              <w:pStyle w:val="arial-11-justify-6ptafterChar"/>
              <w:widowControl w:val="0"/>
              <w:shd w:val="clear" w:color="auto" w:fill="FFFFFF"/>
              <w:tabs>
                <w:tab w:val="left" w:pos="142"/>
              </w:tabs>
              <w:autoSpaceDE w:val="0"/>
              <w:autoSpaceDN w:val="0"/>
              <w:adjustRightInd w:val="0"/>
              <w:spacing w:before="0"/>
              <w:rPr>
                <w:sz w:val="22"/>
                <w:szCs w:val="22"/>
                <w:lang w:eastAsia="en-US"/>
              </w:rPr>
            </w:pPr>
            <w:r w:rsidRPr="007F5366">
              <w:rPr>
                <w:b/>
                <w:sz w:val="22"/>
                <w:szCs w:val="22"/>
              </w:rPr>
              <w:t>Tehničke uslove</w:t>
            </w:r>
            <w:r w:rsidRPr="007F5366">
              <w:rPr>
                <w:sz w:val="22"/>
                <w:szCs w:val="22"/>
              </w:rPr>
              <w:t xml:space="preserve"> za izgradnju pretplatničkih komunikacionih kablova, kablova za kablovsku distribuciju i zajedničkog antenskog sistema objekata propisuju Zakon o elektronskim komunikacijama („Sl.list CG“ br. 40/13) odnosno </w:t>
            </w:r>
            <w:r w:rsidRPr="007F5366">
              <w:rPr>
                <w:b/>
                <w:sz w:val="22"/>
                <w:szCs w:val="22"/>
              </w:rPr>
              <w:t>Pravilnik o tehničkim i drugim uslovima za projektovanje, izgradnju i korišćenje elektronske komunikacione mreže, elektronske i komunikacione infrastrukture i povezane opreme u objektima</w:t>
            </w:r>
            <w:r w:rsidRPr="007F5366">
              <w:rPr>
                <w:sz w:val="22"/>
                <w:szCs w:val="22"/>
              </w:rPr>
              <w:t xml:space="preserve"> („Sl.list CG“ br. 41/15)  izdatog od strane Agencije za elektronske komun</w:t>
            </w:r>
            <w:r>
              <w:rPr>
                <w:sz w:val="22"/>
                <w:szCs w:val="22"/>
              </w:rPr>
              <w:t>ikacije i poštansku djelatnost.</w:t>
            </w:r>
            <w:r w:rsidRPr="005B58D5">
              <w:rPr>
                <w:sz w:val="22"/>
                <w:szCs w:val="22"/>
                <w:lang w:eastAsia="en-US"/>
              </w:rPr>
              <w:t xml:space="preserve"> </w:t>
            </w:r>
          </w:p>
          <w:p w:rsidR="000E4037" w:rsidRPr="005B58D5" w:rsidRDefault="000E4037" w:rsidP="000E4037">
            <w:pPr>
              <w:pStyle w:val="arial-11-justify-6ptafterChar"/>
              <w:widowControl w:val="0"/>
              <w:shd w:val="clear" w:color="auto" w:fill="FFFFFF"/>
              <w:tabs>
                <w:tab w:val="left" w:pos="142"/>
              </w:tabs>
              <w:autoSpaceDE w:val="0"/>
              <w:autoSpaceDN w:val="0"/>
              <w:adjustRightInd w:val="0"/>
              <w:spacing w:before="0"/>
              <w:rPr>
                <w:sz w:val="22"/>
                <w:szCs w:val="22"/>
                <w:lang w:eastAsia="en-US"/>
              </w:rPr>
            </w:pPr>
            <w:r w:rsidRPr="005B58D5">
              <w:rPr>
                <w:sz w:val="22"/>
                <w:szCs w:val="22"/>
                <w:lang w:eastAsia="en-US"/>
              </w:rPr>
              <w:t>Svi dodatni uslovi mogu se naći na:</w:t>
            </w:r>
          </w:p>
          <w:p w:rsidR="000E4037" w:rsidRDefault="000E4037" w:rsidP="000E4037">
            <w:pPr>
              <w:pStyle w:val="arial-11-justify-6ptafterChar"/>
              <w:widowControl w:val="0"/>
              <w:numPr>
                <w:ilvl w:val="0"/>
                <w:numId w:val="8"/>
              </w:numPr>
              <w:shd w:val="clear" w:color="auto" w:fill="FFFFFF"/>
              <w:tabs>
                <w:tab w:val="left" w:pos="142"/>
              </w:tabs>
              <w:autoSpaceDE w:val="0"/>
              <w:autoSpaceDN w:val="0"/>
              <w:adjustRightInd w:val="0"/>
              <w:spacing w:before="0"/>
              <w:jc w:val="left"/>
              <w:rPr>
                <w:sz w:val="22"/>
                <w:szCs w:val="22"/>
                <w:lang w:eastAsia="en-US"/>
              </w:rPr>
            </w:pPr>
            <w:hyperlink r:id="rId10" w:history="1">
              <w:r w:rsidRPr="00360CC0">
                <w:rPr>
                  <w:rStyle w:val="Hyperlink"/>
                  <w:lang w:eastAsia="en-US"/>
                </w:rPr>
                <w:t>http://www.ekip.me/page/electronic-communications/ec-networks/izrada-tehnicke-dokumentacije/content</w:t>
              </w:r>
            </w:hyperlink>
          </w:p>
          <w:p w:rsidR="000E4037" w:rsidRPr="00732658" w:rsidRDefault="000E4037" w:rsidP="000E4037">
            <w:pPr>
              <w:pStyle w:val="arial-11-justify-6ptafterChar"/>
              <w:widowControl w:val="0"/>
              <w:numPr>
                <w:ilvl w:val="0"/>
                <w:numId w:val="8"/>
              </w:numPr>
              <w:shd w:val="clear" w:color="auto" w:fill="FFFFFF"/>
              <w:tabs>
                <w:tab w:val="left" w:pos="142"/>
              </w:tabs>
              <w:autoSpaceDE w:val="0"/>
              <w:autoSpaceDN w:val="0"/>
              <w:adjustRightInd w:val="0"/>
              <w:spacing w:before="0"/>
              <w:jc w:val="left"/>
              <w:rPr>
                <w:sz w:val="22"/>
                <w:szCs w:val="22"/>
                <w:lang w:eastAsia="en-US"/>
              </w:rPr>
            </w:pPr>
            <w:hyperlink r:id="rId11" w:history="1">
              <w:r w:rsidRPr="00732658">
                <w:rPr>
                  <w:rStyle w:val="Hyperlink"/>
                  <w:rFonts w:eastAsiaTheme="majorEastAsia"/>
                  <w:lang w:eastAsia="en-US"/>
                </w:rPr>
                <w:t>http://geoportal.ekip.me</w:t>
              </w:r>
            </w:hyperlink>
          </w:p>
          <w:p w:rsidR="00D45CBF" w:rsidRDefault="000E4037" w:rsidP="000E4037">
            <w:pPr>
              <w:tabs>
                <w:tab w:val="left" w:pos="142"/>
              </w:tabs>
              <w:jc w:val="both"/>
              <w:rPr>
                <w:rStyle w:val="Hyperlink"/>
                <w:rFonts w:eastAsiaTheme="majorEastAsia"/>
              </w:rPr>
            </w:pPr>
            <w:hyperlink r:id="rId12" w:history="1">
              <w:r w:rsidRPr="00DE7DE7">
                <w:rPr>
                  <w:rStyle w:val="Hyperlink"/>
                  <w:rFonts w:eastAsiaTheme="majorEastAsia"/>
                </w:rPr>
                <w:t>http://geoportal.ekip.me/login/auth</w:t>
              </w:r>
            </w:hyperlink>
          </w:p>
          <w:p w:rsidR="000E4037" w:rsidRDefault="000E4037" w:rsidP="000E4037">
            <w:pPr>
              <w:tabs>
                <w:tab w:val="left" w:pos="142"/>
              </w:tabs>
              <w:jc w:val="both"/>
              <w:rPr>
                <w:rStyle w:val="Hyperlink"/>
                <w:rFonts w:eastAsiaTheme="majorEastAsia"/>
              </w:rPr>
            </w:pPr>
          </w:p>
          <w:p w:rsidR="000E4037" w:rsidRDefault="000E4037" w:rsidP="000E4037">
            <w:pPr>
              <w:jc w:val="both"/>
              <w:rPr>
                <w:rFonts w:ascii="Arial" w:hAnsi="Arial" w:cs="Arial"/>
                <w:sz w:val="22"/>
                <w:szCs w:val="22"/>
                <w:lang w:val="sr-Latn-CS"/>
              </w:rPr>
            </w:pPr>
            <w:r>
              <w:rPr>
                <w:rFonts w:ascii="Arial" w:hAnsi="Arial" w:cs="Arial"/>
                <w:sz w:val="22"/>
                <w:szCs w:val="22"/>
                <w:lang w:val="sr-Latn-CS"/>
              </w:rPr>
              <w:t>Sastavni dio Nacrta programskog zadatka sa elementima urbanističko-tehničkih uslova je akt broj 0403-2</w:t>
            </w:r>
            <w:r w:rsidR="00B02988">
              <w:rPr>
                <w:rFonts w:ascii="Arial" w:hAnsi="Arial" w:cs="Arial"/>
                <w:sz w:val="22"/>
                <w:szCs w:val="22"/>
                <w:lang w:val="sr-Latn-CS"/>
              </w:rPr>
              <w:t>738</w:t>
            </w:r>
            <w:r>
              <w:rPr>
                <w:rFonts w:ascii="Arial" w:hAnsi="Arial" w:cs="Arial"/>
                <w:sz w:val="22"/>
                <w:szCs w:val="22"/>
                <w:lang w:val="sr-Latn-CS"/>
              </w:rPr>
              <w:t>/2 od 1</w:t>
            </w:r>
            <w:r w:rsidR="00B02988">
              <w:rPr>
                <w:rFonts w:ascii="Arial" w:hAnsi="Arial" w:cs="Arial"/>
                <w:sz w:val="22"/>
                <w:szCs w:val="22"/>
                <w:lang w:val="sr-Latn-CS"/>
              </w:rPr>
              <w:t>9</w:t>
            </w:r>
            <w:r>
              <w:rPr>
                <w:rFonts w:ascii="Arial" w:hAnsi="Arial" w:cs="Arial"/>
                <w:sz w:val="22"/>
                <w:szCs w:val="22"/>
                <w:lang w:val="sr-Latn-CS"/>
              </w:rPr>
              <w:t>.04.2022.godine izdat od strane Agencije za elektronske komunikacije i poštansku djelatnost.</w:t>
            </w:r>
          </w:p>
          <w:p w:rsidR="000E4037" w:rsidRDefault="000E4037" w:rsidP="000E4037">
            <w:pPr>
              <w:tabs>
                <w:tab w:val="left" w:pos="142"/>
              </w:tabs>
              <w:jc w:val="both"/>
              <w:rPr>
                <w:rStyle w:val="Hyperlink"/>
                <w:rFonts w:eastAsiaTheme="majorEastAsia"/>
              </w:rPr>
            </w:pPr>
          </w:p>
          <w:p w:rsidR="000E4037" w:rsidRDefault="000E4037" w:rsidP="000E4037">
            <w:pPr>
              <w:tabs>
                <w:tab w:val="left" w:pos="142"/>
              </w:tabs>
              <w:jc w:val="both"/>
              <w:rPr>
                <w:rStyle w:val="Hyperlink"/>
                <w:rFonts w:eastAsiaTheme="majorEastAsia"/>
              </w:rPr>
            </w:pPr>
          </w:p>
          <w:p w:rsidR="000E4037" w:rsidRPr="007F5366" w:rsidRDefault="000E4037" w:rsidP="000E4037">
            <w:pPr>
              <w:tabs>
                <w:tab w:val="left" w:pos="142"/>
              </w:tabs>
              <w:jc w:val="both"/>
              <w:rPr>
                <w:rFonts w:ascii="Arial" w:eastAsia="Times New Roman" w:hAnsi="Arial" w:cs="Arial"/>
                <w:sz w:val="22"/>
                <w:szCs w:val="22"/>
                <w:lang w:val="hr-HR"/>
              </w:rPr>
            </w:pPr>
          </w:p>
        </w:tc>
      </w:tr>
      <w:tr w:rsidR="005B5E10" w:rsidRPr="007F5366" w:rsidTr="00922392">
        <w:trPr>
          <w:trHeight w:val="249"/>
          <w:jc w:val="center"/>
        </w:trPr>
        <w:tc>
          <w:tcPr>
            <w:tcW w:w="11558" w:type="dxa"/>
            <w:gridSpan w:val="5"/>
            <w:noWrap/>
            <w:vAlign w:val="center"/>
          </w:tcPr>
          <w:p w:rsidR="00597553" w:rsidRPr="007F5366" w:rsidRDefault="00597553" w:rsidP="005053D0">
            <w:pPr>
              <w:pStyle w:val="ListParagraph"/>
              <w:tabs>
                <w:tab w:val="left" w:pos="6915"/>
              </w:tabs>
              <w:rPr>
                <w:rFonts w:ascii="Arial" w:hAnsi="Arial" w:cs="Arial"/>
                <w:sz w:val="22"/>
                <w:szCs w:val="22"/>
              </w:rPr>
            </w:pPr>
          </w:p>
        </w:tc>
      </w:tr>
      <w:tr w:rsidR="00DD7E0D" w:rsidRPr="007F5366" w:rsidTr="00922392">
        <w:trPr>
          <w:trHeight w:val="690"/>
          <w:jc w:val="center"/>
        </w:trPr>
        <w:tc>
          <w:tcPr>
            <w:tcW w:w="1772" w:type="dxa"/>
            <w:noWrap/>
            <w:vAlign w:val="center"/>
            <w:hideMark/>
          </w:tcPr>
          <w:p w:rsidR="00727CDC" w:rsidRPr="007F5366" w:rsidRDefault="00727CDC" w:rsidP="00F5152B">
            <w:pPr>
              <w:pStyle w:val="ListParagraph"/>
              <w:numPr>
                <w:ilvl w:val="0"/>
                <w:numId w:val="1"/>
              </w:numPr>
              <w:tabs>
                <w:tab w:val="left" w:pos="6915"/>
              </w:tabs>
              <w:rPr>
                <w:rFonts w:ascii="Arial" w:hAnsi="Arial" w:cs="Arial"/>
                <w:sz w:val="22"/>
                <w:szCs w:val="22"/>
              </w:rPr>
            </w:pPr>
            <w:r w:rsidRPr="007F5366">
              <w:rPr>
                <w:rFonts w:ascii="Arial" w:hAnsi="Arial" w:cs="Arial"/>
                <w:sz w:val="22"/>
                <w:szCs w:val="22"/>
              </w:rPr>
              <w:t>.</w:t>
            </w:r>
          </w:p>
        </w:tc>
        <w:tc>
          <w:tcPr>
            <w:tcW w:w="9786" w:type="dxa"/>
            <w:gridSpan w:val="4"/>
            <w:vAlign w:val="center"/>
            <w:hideMark/>
          </w:tcPr>
          <w:p w:rsidR="00727CDC" w:rsidRPr="007F5366" w:rsidRDefault="00727CDC" w:rsidP="005053D0">
            <w:pPr>
              <w:tabs>
                <w:tab w:val="left" w:pos="6915"/>
              </w:tabs>
              <w:rPr>
                <w:rFonts w:ascii="Arial" w:hAnsi="Arial" w:cs="Arial"/>
                <w:b/>
                <w:bCs/>
                <w:sz w:val="22"/>
                <w:szCs w:val="22"/>
              </w:rPr>
            </w:pPr>
            <w:r w:rsidRPr="007F5366">
              <w:rPr>
                <w:rFonts w:ascii="Arial" w:hAnsi="Arial" w:cs="Arial"/>
                <w:b/>
                <w:bCs/>
                <w:sz w:val="22"/>
                <w:szCs w:val="22"/>
              </w:rPr>
              <w:t>POTREB</w:t>
            </w:r>
            <w:r w:rsidR="00704035" w:rsidRPr="007F5366">
              <w:rPr>
                <w:rFonts w:ascii="Arial" w:hAnsi="Arial" w:cs="Arial"/>
                <w:b/>
                <w:bCs/>
                <w:sz w:val="22"/>
                <w:szCs w:val="22"/>
              </w:rPr>
              <w:t>A</w:t>
            </w:r>
            <w:r w:rsidRPr="007F5366">
              <w:rPr>
                <w:rFonts w:ascii="Arial" w:hAnsi="Arial" w:cs="Arial"/>
                <w:b/>
                <w:bCs/>
                <w:sz w:val="22"/>
                <w:szCs w:val="22"/>
              </w:rPr>
              <w:t xml:space="preserve"> IZRADE GEODETSKIH, GEOLOŠKIH (GEOTEHNIČKIH, INŽENJERSKO-GEOLOŠKIH, HIDROGEOLOŠKIH, GEOMEHANIČKIH I SEIZMIČKIH) PODLOGA, KAO I VRŠENJA GEOTEHNIČKIH ISTRAŽNIH RADOVA I DRUGIH ISPITIVANJA</w:t>
            </w:r>
          </w:p>
        </w:tc>
      </w:tr>
      <w:tr w:rsidR="00F04485" w:rsidRPr="007F5366" w:rsidTr="00922392">
        <w:trPr>
          <w:trHeight w:val="421"/>
          <w:jc w:val="center"/>
        </w:trPr>
        <w:tc>
          <w:tcPr>
            <w:tcW w:w="1772" w:type="dxa"/>
            <w:noWrap/>
            <w:vAlign w:val="center"/>
            <w:hideMark/>
          </w:tcPr>
          <w:p w:rsidR="00727CDC" w:rsidRPr="007F5366" w:rsidRDefault="00727CDC" w:rsidP="005053D0">
            <w:pPr>
              <w:pStyle w:val="ListParagraph"/>
              <w:tabs>
                <w:tab w:val="left" w:pos="6915"/>
              </w:tabs>
              <w:rPr>
                <w:rFonts w:ascii="Arial" w:hAnsi="Arial" w:cs="Arial"/>
                <w:sz w:val="22"/>
                <w:szCs w:val="22"/>
              </w:rPr>
            </w:pPr>
          </w:p>
        </w:tc>
        <w:tc>
          <w:tcPr>
            <w:tcW w:w="9786" w:type="dxa"/>
            <w:gridSpan w:val="4"/>
            <w:noWrap/>
          </w:tcPr>
          <w:p w:rsidR="00C80E1D" w:rsidRPr="007F5366" w:rsidRDefault="00C80E1D" w:rsidP="008B0F85">
            <w:pPr>
              <w:jc w:val="both"/>
              <w:rPr>
                <w:rFonts w:ascii="Arial" w:hAnsi="Arial" w:cs="Arial"/>
                <w:sz w:val="22"/>
                <w:szCs w:val="22"/>
              </w:rPr>
            </w:pPr>
          </w:p>
          <w:p w:rsidR="00A81836" w:rsidRDefault="00A81836" w:rsidP="008B0F85">
            <w:pPr>
              <w:jc w:val="both"/>
              <w:rPr>
                <w:rFonts w:ascii="Arial" w:eastAsia="Times New Roman" w:hAnsi="Arial" w:cs="Arial"/>
                <w:bCs/>
                <w:sz w:val="22"/>
                <w:szCs w:val="22"/>
                <w:lang w:val="hr-HR" w:eastAsia="hr-HR"/>
              </w:rPr>
            </w:pPr>
            <w:r w:rsidRPr="007F5366">
              <w:rPr>
                <w:rFonts w:ascii="Arial" w:eastAsia="Times New Roman" w:hAnsi="Arial" w:cs="Arial"/>
                <w:bCs/>
                <w:sz w:val="22"/>
                <w:szCs w:val="22"/>
                <w:lang w:val="hr-HR" w:eastAsia="hr-HR"/>
              </w:rPr>
              <w:t>Prije izrade tehničke dokumentacije investitor je obavezan, utvrditi obavezu izrade detaljnih geoloških istraživanja shodno članu 7. Zakona o geološkim istraživanjima (’’Službeni list RCG’’, br.28/93 i izmjene 42/94 i 26/07) i ukoliko je za objekat propisana obaveza angažovati tehničko lice za izradu potrebnih projekata, istraživanja i elaborata .</w:t>
            </w:r>
          </w:p>
          <w:p w:rsidR="00D45CBF" w:rsidRPr="007F5366" w:rsidRDefault="00D45CBF" w:rsidP="008B0F85">
            <w:pPr>
              <w:jc w:val="both"/>
              <w:rPr>
                <w:rFonts w:ascii="Arial" w:eastAsia="Times New Roman" w:hAnsi="Arial" w:cs="Arial"/>
                <w:bCs/>
                <w:sz w:val="22"/>
                <w:szCs w:val="22"/>
                <w:lang w:val="hr-HR" w:eastAsia="hr-HR"/>
              </w:rPr>
            </w:pPr>
          </w:p>
        </w:tc>
      </w:tr>
      <w:tr w:rsidR="00727CDC" w:rsidRPr="007F5366" w:rsidTr="00922392">
        <w:trPr>
          <w:trHeight w:val="283"/>
          <w:jc w:val="center"/>
        </w:trPr>
        <w:tc>
          <w:tcPr>
            <w:tcW w:w="11558" w:type="dxa"/>
            <w:gridSpan w:val="5"/>
            <w:noWrap/>
            <w:vAlign w:val="center"/>
            <w:hideMark/>
          </w:tcPr>
          <w:p w:rsidR="00727CDC" w:rsidRPr="007F5366" w:rsidRDefault="00727CDC" w:rsidP="005053D0">
            <w:pPr>
              <w:pStyle w:val="ListParagraph"/>
              <w:tabs>
                <w:tab w:val="left" w:pos="6915"/>
              </w:tabs>
              <w:rPr>
                <w:rFonts w:ascii="Arial" w:hAnsi="Arial" w:cs="Arial"/>
                <w:sz w:val="22"/>
                <w:szCs w:val="22"/>
              </w:rPr>
            </w:pPr>
          </w:p>
        </w:tc>
      </w:tr>
      <w:tr w:rsidR="00102C34" w:rsidRPr="007F5366" w:rsidTr="00922392">
        <w:trPr>
          <w:trHeight w:val="300"/>
          <w:jc w:val="center"/>
        </w:trPr>
        <w:tc>
          <w:tcPr>
            <w:tcW w:w="1772" w:type="dxa"/>
            <w:noWrap/>
            <w:vAlign w:val="center"/>
          </w:tcPr>
          <w:p w:rsidR="00102C34" w:rsidRPr="007F5366" w:rsidRDefault="00102C34" w:rsidP="00102C34">
            <w:pPr>
              <w:pStyle w:val="ListParagraph"/>
              <w:numPr>
                <w:ilvl w:val="0"/>
                <w:numId w:val="1"/>
              </w:numPr>
              <w:tabs>
                <w:tab w:val="left" w:pos="6915"/>
              </w:tabs>
              <w:rPr>
                <w:rFonts w:ascii="Arial" w:hAnsi="Arial" w:cs="Arial"/>
              </w:rPr>
            </w:pPr>
          </w:p>
        </w:tc>
        <w:tc>
          <w:tcPr>
            <w:tcW w:w="9786" w:type="dxa"/>
            <w:gridSpan w:val="4"/>
            <w:noWrap/>
            <w:vAlign w:val="center"/>
          </w:tcPr>
          <w:p w:rsidR="00102C34" w:rsidRDefault="00102C34" w:rsidP="00102C34">
            <w:pPr>
              <w:tabs>
                <w:tab w:val="left" w:pos="6915"/>
              </w:tabs>
              <w:rPr>
                <w:rFonts w:ascii="Arial" w:hAnsi="Arial" w:cs="Arial"/>
                <w:b/>
                <w:bCs/>
              </w:rPr>
            </w:pPr>
            <w:r w:rsidRPr="00D45CBF">
              <w:rPr>
                <w:rFonts w:ascii="Arial" w:hAnsi="Arial" w:cs="Arial"/>
                <w:b/>
                <w:bCs/>
                <w:sz w:val="22"/>
                <w:szCs w:val="22"/>
              </w:rPr>
              <w:t>PROJEKTNA DOKUMENTACIJA</w:t>
            </w:r>
          </w:p>
        </w:tc>
      </w:tr>
      <w:tr w:rsidR="00102C34" w:rsidRPr="007F5366" w:rsidTr="00922392">
        <w:trPr>
          <w:trHeight w:val="257"/>
          <w:jc w:val="center"/>
        </w:trPr>
        <w:tc>
          <w:tcPr>
            <w:tcW w:w="1772" w:type="dxa"/>
            <w:noWrap/>
            <w:vAlign w:val="center"/>
            <w:hideMark/>
          </w:tcPr>
          <w:p w:rsidR="00102C34" w:rsidRPr="007F5366" w:rsidRDefault="00102C34" w:rsidP="00102C34">
            <w:pPr>
              <w:pStyle w:val="ListParagraph"/>
              <w:tabs>
                <w:tab w:val="left" w:pos="6915"/>
              </w:tabs>
              <w:rPr>
                <w:rFonts w:ascii="Arial" w:hAnsi="Arial" w:cs="Arial"/>
                <w:sz w:val="22"/>
                <w:szCs w:val="22"/>
              </w:rPr>
            </w:pPr>
          </w:p>
        </w:tc>
        <w:tc>
          <w:tcPr>
            <w:tcW w:w="9786" w:type="dxa"/>
            <w:gridSpan w:val="4"/>
            <w:noWrap/>
            <w:hideMark/>
          </w:tcPr>
          <w:p w:rsidR="00D45CBF" w:rsidRDefault="00D45CBF" w:rsidP="00102C34">
            <w:pPr>
              <w:jc w:val="both"/>
              <w:rPr>
                <w:rFonts w:ascii="Arial" w:hAnsi="Arial" w:cs="Arial"/>
                <w:sz w:val="22"/>
                <w:szCs w:val="22"/>
              </w:rPr>
            </w:pPr>
          </w:p>
          <w:p w:rsidR="00102C34" w:rsidRPr="00092907" w:rsidRDefault="00102C34" w:rsidP="00102C34">
            <w:pPr>
              <w:jc w:val="both"/>
              <w:rPr>
                <w:rFonts w:ascii="Arial" w:hAnsi="Arial" w:cs="Arial"/>
                <w:b/>
                <w:sz w:val="22"/>
                <w:szCs w:val="22"/>
              </w:rPr>
            </w:pPr>
            <w:r w:rsidRPr="00092907">
              <w:rPr>
                <w:rFonts w:ascii="Arial" w:hAnsi="Arial" w:cs="Arial"/>
                <w:sz w:val="22"/>
                <w:szCs w:val="22"/>
              </w:rPr>
              <w:t xml:space="preserve">Glavni projekat u skladu sa članom 9 Odluke o izgradnji lokalnih objekata od opšteg interesa izrađuje se za potrebe izdavanja </w:t>
            </w:r>
            <w:r w:rsidRPr="00092907">
              <w:rPr>
                <w:rFonts w:ascii="Arial" w:hAnsi="Arial" w:cs="Arial"/>
                <w:b/>
                <w:sz w:val="22"/>
                <w:szCs w:val="22"/>
              </w:rPr>
              <w:t>odobrenja za građenje lokalnog objekta od opšteg interesa, kao i za građenje tog objekta.</w:t>
            </w:r>
          </w:p>
          <w:p w:rsidR="00102C34" w:rsidRPr="00092907" w:rsidRDefault="00102C34" w:rsidP="00102C34">
            <w:pPr>
              <w:jc w:val="both"/>
              <w:rPr>
                <w:rFonts w:ascii="Arial" w:hAnsi="Arial" w:cs="Arial"/>
                <w:sz w:val="22"/>
                <w:szCs w:val="22"/>
              </w:rPr>
            </w:pPr>
            <w:r w:rsidRPr="00092907">
              <w:rPr>
                <w:rFonts w:ascii="Arial" w:hAnsi="Arial" w:cs="Arial"/>
                <w:sz w:val="22"/>
                <w:szCs w:val="22"/>
              </w:rPr>
              <w:t>Glavni projekat izrađuje se odnosno reviduje u skladu sa važećim tehničkim normativima, standardima i normama kvaliteta propisanim odredbama Zakona o uređenju prostora i izgradnji objekata (u daljem tekstu: Zakon).</w:t>
            </w:r>
          </w:p>
          <w:p w:rsidR="00102C34" w:rsidRPr="00092907" w:rsidRDefault="00102C34" w:rsidP="00102C34">
            <w:pPr>
              <w:jc w:val="both"/>
              <w:rPr>
                <w:rFonts w:ascii="Arial" w:hAnsi="Arial" w:cs="Arial"/>
                <w:sz w:val="22"/>
                <w:szCs w:val="22"/>
              </w:rPr>
            </w:pPr>
            <w:r w:rsidRPr="00092907">
              <w:rPr>
                <w:rFonts w:ascii="Arial" w:hAnsi="Arial" w:cs="Arial"/>
                <w:sz w:val="22"/>
                <w:szCs w:val="22"/>
              </w:rPr>
              <w:t>U skladu sa članom 11 Odluke o izgradnji lokalnih objekata od opšteg interesa ("Službeni list Crne Gore - opštinski propisi", br. 18/14,42/15, 28/16 i 7/21)  odobrenje za građenje se izdaje na osnovu:Odlukeo izgradnji lokalnog objekta od opšteg interesa koju donosi Skupština opštine, dokaza o pravu svojine odnosno drugom pravu na zemljištu, pravosnažnog rešenja o eksproprijaciji, ustanovljenog prava službenosti prolaza u zavisnoti od vrste objekta; glavnog projekta sa izvještajem o izvršenoj reviziji izrađenih u 6 (šest) primjerka, od kojih su 3 (tri) u zaštićenoj digitalnoj formi i drugih dokaza odnosno saglasnosti shodno posebnim propisima.</w:t>
            </w:r>
          </w:p>
          <w:p w:rsidR="00102C34" w:rsidRPr="00092907" w:rsidRDefault="00102C34" w:rsidP="00102C34">
            <w:pPr>
              <w:jc w:val="both"/>
              <w:rPr>
                <w:rFonts w:ascii="Arial" w:hAnsi="Arial" w:cs="Arial"/>
                <w:sz w:val="22"/>
                <w:szCs w:val="22"/>
              </w:rPr>
            </w:pPr>
            <w:r w:rsidRPr="00092907">
              <w:rPr>
                <w:rFonts w:ascii="Arial" w:hAnsi="Arial" w:cs="Arial"/>
                <w:sz w:val="22"/>
                <w:szCs w:val="22"/>
              </w:rPr>
              <w:t>U postupku izdavanja odobrenja svaki posebni dio glavnog projekta ovjerava se štambiljem na kojem je upisan broj, datum i potpis ovlašćenog lica, kao i pečatom na svakom listu projekta.</w:t>
            </w:r>
          </w:p>
          <w:p w:rsidR="00102C34" w:rsidRPr="00092907" w:rsidRDefault="00102C34" w:rsidP="00102C34">
            <w:pPr>
              <w:jc w:val="both"/>
              <w:rPr>
                <w:rFonts w:ascii="Arial" w:hAnsi="Arial" w:cs="Arial"/>
                <w:sz w:val="22"/>
                <w:szCs w:val="22"/>
              </w:rPr>
            </w:pPr>
          </w:p>
          <w:p w:rsidR="00102C34" w:rsidRPr="00092907" w:rsidRDefault="00102C34" w:rsidP="00102C34">
            <w:pPr>
              <w:jc w:val="both"/>
              <w:rPr>
                <w:rFonts w:ascii="Arial" w:hAnsi="Arial" w:cs="Arial"/>
                <w:sz w:val="22"/>
                <w:szCs w:val="22"/>
              </w:rPr>
            </w:pPr>
            <w:r w:rsidRPr="00092907">
              <w:rPr>
                <w:rFonts w:ascii="Arial" w:hAnsi="Arial" w:cs="Arial"/>
                <w:sz w:val="22"/>
                <w:szCs w:val="22"/>
              </w:rPr>
              <w:t>Građenje objekta može se započeti na osnovu odobrenja i revidovanog glavnog projekta.</w:t>
            </w:r>
          </w:p>
          <w:p w:rsidR="00102C34" w:rsidRPr="00092907" w:rsidRDefault="00102C34" w:rsidP="00102C34">
            <w:pPr>
              <w:jc w:val="both"/>
              <w:rPr>
                <w:rFonts w:ascii="Arial" w:hAnsi="Arial" w:cs="Arial"/>
                <w:sz w:val="22"/>
                <w:szCs w:val="22"/>
              </w:rPr>
            </w:pPr>
            <w:r w:rsidRPr="00092907">
              <w:rPr>
                <w:rFonts w:ascii="Arial" w:hAnsi="Arial" w:cs="Arial"/>
                <w:sz w:val="22"/>
                <w:szCs w:val="22"/>
              </w:rPr>
              <w:t>Građenje objekta, odnosno izvođenje pojedinih radova na građenju tog objekta vrši se u skladu sa odredbama Zakona.</w:t>
            </w:r>
          </w:p>
          <w:p w:rsidR="00102C34" w:rsidRPr="00092907" w:rsidRDefault="00102C34" w:rsidP="00102C34">
            <w:pPr>
              <w:jc w:val="both"/>
              <w:rPr>
                <w:rFonts w:ascii="Arial" w:hAnsi="Arial" w:cs="Arial"/>
                <w:sz w:val="22"/>
                <w:szCs w:val="22"/>
              </w:rPr>
            </w:pPr>
          </w:p>
          <w:p w:rsidR="00102C34" w:rsidRPr="00092907" w:rsidRDefault="00102C34" w:rsidP="00102C34">
            <w:pPr>
              <w:ind w:right="-34"/>
              <w:jc w:val="both"/>
              <w:rPr>
                <w:rFonts w:ascii="Arial" w:hAnsi="Arial" w:cs="Arial"/>
                <w:sz w:val="22"/>
                <w:szCs w:val="22"/>
                <w:lang w:val="sr-Latn-CS"/>
              </w:rPr>
            </w:pPr>
            <w:r w:rsidRPr="00092907">
              <w:rPr>
                <w:rFonts w:ascii="Arial" w:hAnsi="Arial" w:cs="Arial"/>
                <w:sz w:val="22"/>
                <w:szCs w:val="22"/>
                <w:lang w:val="sr-Latn-CS"/>
              </w:rPr>
              <w:t>Članom 177 Zakona o uređenju prostora i izgradnji objekata propisanon je:</w:t>
            </w:r>
          </w:p>
          <w:p w:rsidR="00102C34" w:rsidRPr="00092907" w:rsidRDefault="00102C34" w:rsidP="00102C34">
            <w:pPr>
              <w:ind w:right="-34"/>
              <w:jc w:val="both"/>
              <w:rPr>
                <w:rFonts w:ascii="Arial" w:hAnsi="Arial" w:cs="Arial"/>
                <w:sz w:val="22"/>
                <w:szCs w:val="22"/>
                <w:lang w:val="sr-Latn-CS"/>
              </w:rPr>
            </w:pPr>
            <w:r w:rsidRPr="00092907">
              <w:rPr>
                <w:rFonts w:ascii="Arial" w:hAnsi="Arial" w:cs="Arial"/>
                <w:sz w:val="22"/>
                <w:szCs w:val="22"/>
                <w:lang w:val="sr-Latn-CS"/>
              </w:rPr>
              <w:t xml:space="preserve">Glavni    projekat    za    složeni    inženjerski    objekat    je    projekat    kojim    se    utvrđuju    tehnološke, arhitektonsko-građevinske, tehničke i eksploatacione karakteristike objekta sa </w:t>
            </w:r>
            <w:r w:rsidRPr="00092907">
              <w:rPr>
                <w:rFonts w:ascii="Arial" w:hAnsi="Arial" w:cs="Arial"/>
                <w:sz w:val="22"/>
                <w:szCs w:val="22"/>
                <w:lang w:val="sr-Latn-CS"/>
              </w:rPr>
              <w:lastRenderedPageBreak/>
              <w:t xml:space="preserve">opremom i instalacijama, sa razradom neophodnih detalja za građenje objekta i vrijednost radova na izgradnji objekata i izrađuje se radi izdavanja građevinske dozvole kao i za građenje objekta. </w:t>
            </w:r>
          </w:p>
          <w:p w:rsidR="00102C34" w:rsidRPr="00092907" w:rsidRDefault="00102C34" w:rsidP="00102C34">
            <w:pPr>
              <w:ind w:right="-34"/>
              <w:jc w:val="both"/>
              <w:rPr>
                <w:rFonts w:ascii="Arial" w:hAnsi="Arial" w:cs="Arial"/>
                <w:sz w:val="22"/>
                <w:szCs w:val="22"/>
                <w:lang w:val="sr-Latn-CS"/>
              </w:rPr>
            </w:pPr>
          </w:p>
          <w:p w:rsidR="00102C34" w:rsidRPr="00092907" w:rsidRDefault="00102C34" w:rsidP="00102C34">
            <w:pPr>
              <w:ind w:right="-34"/>
              <w:jc w:val="both"/>
              <w:rPr>
                <w:rFonts w:ascii="Arial" w:hAnsi="Arial" w:cs="Arial"/>
                <w:b/>
                <w:sz w:val="22"/>
                <w:szCs w:val="22"/>
                <w:lang w:val="sr-Latn-CS"/>
              </w:rPr>
            </w:pPr>
            <w:r w:rsidRPr="00092907">
              <w:rPr>
                <w:rFonts w:ascii="Arial" w:hAnsi="Arial" w:cs="Arial"/>
                <w:sz w:val="22"/>
                <w:szCs w:val="22"/>
                <w:lang w:val="sr-Latn-CS"/>
              </w:rPr>
              <w:t xml:space="preserve">Glavni projekat za objekat iz člana 74 stav 3 ovog zakona, a koji je složeni inženjerski objekat </w:t>
            </w:r>
            <w:r w:rsidRPr="00092907">
              <w:rPr>
                <w:rFonts w:ascii="Arial" w:hAnsi="Arial" w:cs="Arial"/>
                <w:b/>
                <w:sz w:val="22"/>
                <w:szCs w:val="22"/>
                <w:lang w:val="sr-Latn-CS"/>
              </w:rPr>
              <w:t>obavezno sadrži prilog u elektronskom formatu ažurne katastarske podloge na koju je nanešena trasa objekta.</w:t>
            </w:r>
          </w:p>
          <w:p w:rsidR="00102C34" w:rsidRPr="00092907" w:rsidRDefault="00102C34" w:rsidP="00102C34">
            <w:pPr>
              <w:ind w:right="-34"/>
              <w:jc w:val="both"/>
              <w:rPr>
                <w:rFonts w:ascii="Arial" w:hAnsi="Arial" w:cs="Arial"/>
                <w:sz w:val="22"/>
                <w:szCs w:val="22"/>
                <w:lang w:val="sr-Latn-CS"/>
              </w:rPr>
            </w:pPr>
          </w:p>
          <w:p w:rsidR="00102C34" w:rsidRPr="00092907" w:rsidRDefault="00102C34" w:rsidP="00102C34">
            <w:pPr>
              <w:ind w:right="-34"/>
              <w:jc w:val="both"/>
              <w:rPr>
                <w:rFonts w:ascii="Arial" w:hAnsi="Arial" w:cs="Arial"/>
                <w:sz w:val="22"/>
                <w:szCs w:val="22"/>
                <w:lang w:val="sr-Latn-CS"/>
              </w:rPr>
            </w:pPr>
            <w:r w:rsidRPr="00092907">
              <w:rPr>
                <w:rFonts w:ascii="Arial" w:hAnsi="Arial" w:cs="Arial"/>
                <w:sz w:val="22"/>
                <w:szCs w:val="22"/>
                <w:lang w:val="sr-Latn-CS"/>
              </w:rPr>
              <w:t>Pored dokumentacije iz člana 78 ovog zakona, glavni projekat iz stava 1 ovog člana sadrži i dokumentaciju o ugradnji i funkcionalnom ispitivanju ugrađene opreme.</w:t>
            </w:r>
          </w:p>
          <w:p w:rsidR="00102C34" w:rsidRPr="00092907" w:rsidRDefault="00102C34" w:rsidP="00102C34">
            <w:pPr>
              <w:ind w:right="-34"/>
              <w:jc w:val="both"/>
              <w:rPr>
                <w:rFonts w:ascii="Arial" w:hAnsi="Arial" w:cs="Arial"/>
                <w:sz w:val="22"/>
                <w:szCs w:val="22"/>
                <w:lang w:val="sr-Latn-CS"/>
              </w:rPr>
            </w:pPr>
            <w:r w:rsidRPr="00092907">
              <w:rPr>
                <w:rFonts w:ascii="Arial" w:hAnsi="Arial" w:cs="Arial"/>
                <w:sz w:val="22"/>
                <w:szCs w:val="22"/>
                <w:lang w:val="sr-Latn-CS"/>
              </w:rPr>
              <w:t>Glavni projekat iz stava 1 ovog člana može da sadrži obavezu osmatranja i ispitivanja objekta nakon puštanja u rad.</w:t>
            </w:r>
          </w:p>
          <w:p w:rsidR="00102C34" w:rsidRPr="00092907" w:rsidRDefault="00102C34" w:rsidP="00102C34">
            <w:pPr>
              <w:ind w:right="-34"/>
              <w:jc w:val="both"/>
              <w:rPr>
                <w:rFonts w:ascii="Arial" w:hAnsi="Arial" w:cs="Arial"/>
                <w:sz w:val="22"/>
                <w:szCs w:val="22"/>
                <w:lang w:val="sr-Latn-CS"/>
              </w:rPr>
            </w:pPr>
          </w:p>
          <w:p w:rsidR="00102C34" w:rsidRPr="00092907" w:rsidRDefault="00102C34" w:rsidP="00102C34">
            <w:pPr>
              <w:ind w:right="-34"/>
              <w:jc w:val="both"/>
              <w:rPr>
                <w:rFonts w:ascii="Arial" w:hAnsi="Arial" w:cs="Arial"/>
                <w:sz w:val="22"/>
                <w:szCs w:val="22"/>
                <w:lang w:val="sr-Latn-CS"/>
              </w:rPr>
            </w:pPr>
            <w:r w:rsidRPr="00092907">
              <w:rPr>
                <w:rFonts w:ascii="Arial" w:hAnsi="Arial" w:cs="Arial"/>
                <w:sz w:val="22"/>
                <w:szCs w:val="22"/>
                <w:lang w:val="sr-Latn-CS"/>
              </w:rPr>
              <w:t>Ako je građevinska dozvola izdata na osnovu idejnog projekta iz člana 176 ovog zakona, glavni projekat izrađuje se u skladu sa idejnim projektom na osnovu kojeg je izdata građevinska dozvola.</w:t>
            </w:r>
          </w:p>
          <w:p w:rsidR="00102C34" w:rsidRPr="00092907" w:rsidRDefault="00102C34" w:rsidP="00102C34">
            <w:pPr>
              <w:ind w:right="-34"/>
              <w:jc w:val="both"/>
              <w:rPr>
                <w:rFonts w:ascii="Arial" w:hAnsi="Arial" w:cs="Arial"/>
                <w:sz w:val="22"/>
                <w:szCs w:val="22"/>
                <w:lang w:val="sr-Latn-CS"/>
              </w:rPr>
            </w:pPr>
          </w:p>
          <w:p w:rsidR="00102C34" w:rsidRPr="00092907" w:rsidRDefault="00102C34" w:rsidP="00102C34">
            <w:pPr>
              <w:ind w:right="-34"/>
              <w:jc w:val="both"/>
              <w:rPr>
                <w:rFonts w:ascii="Arial" w:hAnsi="Arial" w:cs="Arial"/>
                <w:sz w:val="22"/>
                <w:szCs w:val="22"/>
                <w:lang w:val="sr-Latn-CS"/>
              </w:rPr>
            </w:pPr>
            <w:r w:rsidRPr="00092907">
              <w:rPr>
                <w:rFonts w:ascii="Arial" w:hAnsi="Arial" w:cs="Arial"/>
                <w:sz w:val="22"/>
                <w:szCs w:val="22"/>
                <w:lang w:val="sr-Latn-CS"/>
              </w:rPr>
              <w:t>Članom 178 Zakona o uređenju prostora i izgradnji objekata propisanon je:</w:t>
            </w:r>
          </w:p>
          <w:p w:rsidR="00102C34" w:rsidRPr="00092907" w:rsidRDefault="00102C34" w:rsidP="00102C34">
            <w:pPr>
              <w:ind w:right="-34"/>
              <w:jc w:val="both"/>
              <w:rPr>
                <w:rFonts w:ascii="Arial" w:hAnsi="Arial" w:cs="Arial"/>
                <w:sz w:val="22"/>
                <w:szCs w:val="22"/>
                <w:lang w:val="sr-Latn-CS"/>
              </w:rPr>
            </w:pPr>
            <w:r w:rsidRPr="00092907">
              <w:rPr>
                <w:rFonts w:ascii="Arial" w:hAnsi="Arial" w:cs="Arial"/>
                <w:sz w:val="22"/>
                <w:szCs w:val="22"/>
                <w:lang w:val="sr-Latn-CS"/>
              </w:rPr>
              <w:t>Ostali projekti, elaborati i podloge iz člana 80 ovog zakona se, po potrebi, izrađuju i za izradu, u toku izrade ili nakon izrade idejnog rješenja, idejnog projekta i glavnog projekta složenog inženjerskog objekta.</w:t>
            </w:r>
          </w:p>
          <w:p w:rsidR="00102C34" w:rsidRPr="00092907" w:rsidRDefault="00102C34" w:rsidP="00102C34">
            <w:pPr>
              <w:ind w:right="-34"/>
              <w:jc w:val="both"/>
              <w:rPr>
                <w:rFonts w:ascii="Arial" w:hAnsi="Arial" w:cs="Arial"/>
                <w:sz w:val="22"/>
                <w:szCs w:val="22"/>
                <w:lang w:val="sr-Latn-CS"/>
              </w:rPr>
            </w:pPr>
          </w:p>
          <w:p w:rsidR="00102C34" w:rsidRPr="00092907" w:rsidRDefault="00102C34" w:rsidP="00102C34">
            <w:pPr>
              <w:ind w:right="-34"/>
              <w:jc w:val="both"/>
              <w:rPr>
                <w:rFonts w:ascii="Arial" w:hAnsi="Arial" w:cs="Arial"/>
                <w:b/>
                <w:sz w:val="22"/>
                <w:szCs w:val="22"/>
                <w:lang w:val="sr-Latn-CS"/>
              </w:rPr>
            </w:pPr>
            <w:r w:rsidRPr="00092907">
              <w:rPr>
                <w:rFonts w:ascii="Arial" w:hAnsi="Arial" w:cs="Arial"/>
                <w:sz w:val="22"/>
                <w:szCs w:val="22"/>
                <w:lang w:val="sr-Latn-CS"/>
              </w:rPr>
              <w:t xml:space="preserve">Članom 179 Zakona o uređenju prostora i izgradnji objekata propisanon je: </w:t>
            </w:r>
            <w:r w:rsidRPr="00092907">
              <w:rPr>
                <w:rFonts w:ascii="Arial" w:hAnsi="Arial" w:cs="Arial"/>
                <w:b/>
                <w:sz w:val="22"/>
                <w:szCs w:val="22"/>
                <w:lang w:val="sr-Latn-CS"/>
              </w:rPr>
              <w:t>Revizija idejnog rješenja, idejnog projekta i glavnog projekta za složeni inženjerski objekat je obavezna.</w:t>
            </w:r>
          </w:p>
          <w:p w:rsidR="00102C34" w:rsidRPr="00092907" w:rsidRDefault="00102C34" w:rsidP="00102C34">
            <w:pPr>
              <w:ind w:right="-34"/>
              <w:jc w:val="both"/>
              <w:rPr>
                <w:rFonts w:ascii="Arial" w:hAnsi="Arial" w:cs="Arial"/>
                <w:sz w:val="22"/>
                <w:szCs w:val="22"/>
                <w:lang w:val="sr-Latn-CS"/>
              </w:rPr>
            </w:pPr>
            <w:r w:rsidRPr="00092907">
              <w:rPr>
                <w:rFonts w:ascii="Arial" w:hAnsi="Arial" w:cs="Arial"/>
                <w:sz w:val="22"/>
                <w:szCs w:val="22"/>
                <w:lang w:val="sr-Latn-CS"/>
              </w:rPr>
              <w:t>Revizija   idejnog   rješenja   iz   stava   1   ovog   člana   obuhvata   provjeru:   usklađenosti   projekta   sa urbanističko-tehničkim uslovima; usklađenosti sa posebnim propisima i pravilima struke u odnosu na pitanja koja nijesu uređena ovim zakonom i usklađenosti sa ovim zakonom.</w:t>
            </w:r>
          </w:p>
          <w:p w:rsidR="00102C34" w:rsidRPr="00092907" w:rsidRDefault="00102C34" w:rsidP="00102C34">
            <w:pPr>
              <w:ind w:right="-34"/>
              <w:jc w:val="both"/>
              <w:rPr>
                <w:rFonts w:ascii="Arial" w:hAnsi="Arial" w:cs="Arial"/>
                <w:sz w:val="22"/>
                <w:szCs w:val="22"/>
                <w:lang w:val="sr-Latn-CS"/>
              </w:rPr>
            </w:pPr>
            <w:r w:rsidRPr="00092907">
              <w:rPr>
                <w:rFonts w:ascii="Arial" w:hAnsi="Arial" w:cs="Arial"/>
                <w:sz w:val="22"/>
                <w:szCs w:val="22"/>
                <w:lang w:val="sr-Latn-CS"/>
              </w:rPr>
              <w:t>Revizija   idejnog   projekta   iz   stava   1   ovog   člana   obuhvata:   provjeru   usklađenosti   projekta   sa urbanističko-tehničkim uslovima; provjeru ispravnosti i tačnosti tehničko-tehnoloških rješenja objekta; arhitektonska rješenja objekta; provjeru stabilnosti i bezbjednosti; racionalnost projektovanih rješenja; usklađenost sa posebnim propisima i pravilima struke u odnosu na pitanja koja nijesu uređena ovim zakonom i usklađenost sa ovim zakonom; međusobnu usklađenost svih djelova tehničke dokumentacije, kao i provjeru predmjera i predračuna svih radova na izgradnji objekta.</w:t>
            </w:r>
          </w:p>
          <w:p w:rsidR="00102C34" w:rsidRPr="00092907" w:rsidRDefault="00102C34" w:rsidP="00102C34">
            <w:pPr>
              <w:ind w:right="-34"/>
              <w:jc w:val="both"/>
              <w:rPr>
                <w:rFonts w:ascii="Arial" w:hAnsi="Arial" w:cs="Arial"/>
                <w:sz w:val="22"/>
                <w:szCs w:val="22"/>
                <w:lang w:val="sr-Latn-CS"/>
              </w:rPr>
            </w:pPr>
            <w:r w:rsidRPr="00092907">
              <w:rPr>
                <w:rFonts w:ascii="Arial" w:hAnsi="Arial" w:cs="Arial"/>
                <w:sz w:val="22"/>
                <w:szCs w:val="22"/>
                <w:lang w:val="sr-Latn-CS"/>
              </w:rPr>
              <w:t>Revizija   glavnog   projekta   iz   stava   1   ovog   člana   obuhvata   provjeru:   usklađenosti   projekta   sa urbanističko-tehničkim uslovima i idejnim projektom ako je građevinska dozvola izdata na idejni projekat, ovim zakonom, posebnim propisima i pravilima struke u odnosu na pitanja koja nijesu uređena ovim zakonom, kao i uslovima oblikovanja i materijalizacije, posebno u odnosu na ambijentalna svojstva područja; ispunjenost osnovnih zahtjeva za objekat; međusobne usklađenosti svih djelova tehničke dokumentacije, kao i predmjera i predračuna svih radova na građenju objekta.</w:t>
            </w:r>
          </w:p>
          <w:p w:rsidR="00102C34" w:rsidRPr="00092907" w:rsidRDefault="00102C34" w:rsidP="00102C34">
            <w:pPr>
              <w:ind w:right="-34"/>
              <w:jc w:val="both"/>
              <w:rPr>
                <w:rFonts w:ascii="Arial" w:hAnsi="Arial" w:cs="Arial"/>
                <w:b/>
                <w:sz w:val="22"/>
                <w:szCs w:val="22"/>
                <w:lang w:val="sr-Latn-CS"/>
              </w:rPr>
            </w:pPr>
            <w:r w:rsidRPr="00092907">
              <w:rPr>
                <w:rFonts w:ascii="Arial" w:hAnsi="Arial" w:cs="Arial"/>
                <w:b/>
                <w:sz w:val="22"/>
                <w:szCs w:val="22"/>
                <w:lang w:val="sr-Latn-CS"/>
              </w:rPr>
              <w:t>Revizor je dužan da o izvršenoj reviziji iz stava 1 ovog člana sačini i potpiše konačni izvještaj.</w:t>
            </w:r>
          </w:p>
          <w:p w:rsidR="00102C34" w:rsidRPr="00092907" w:rsidRDefault="00102C34" w:rsidP="00102C34">
            <w:pPr>
              <w:ind w:right="-34"/>
              <w:jc w:val="both"/>
              <w:rPr>
                <w:rFonts w:ascii="Arial" w:hAnsi="Arial" w:cs="Arial"/>
                <w:sz w:val="22"/>
                <w:szCs w:val="22"/>
                <w:lang w:val="sr-Latn-CS"/>
              </w:rPr>
            </w:pPr>
            <w:r w:rsidRPr="00092907">
              <w:rPr>
                <w:rFonts w:ascii="Arial" w:hAnsi="Arial" w:cs="Arial"/>
                <w:sz w:val="22"/>
                <w:szCs w:val="22"/>
                <w:lang w:val="sr-Latn-CS"/>
              </w:rPr>
              <w:t>Izvještaj o reviziji iz st. 2, 3 i 4 ovog člana može biti pozitivan ili negativan.</w:t>
            </w:r>
          </w:p>
          <w:p w:rsidR="00102C34" w:rsidRPr="00092907" w:rsidRDefault="00102C34" w:rsidP="00102C34">
            <w:pPr>
              <w:ind w:right="-34"/>
              <w:jc w:val="both"/>
              <w:rPr>
                <w:rFonts w:ascii="Arial" w:hAnsi="Arial" w:cs="Arial"/>
                <w:sz w:val="22"/>
                <w:szCs w:val="22"/>
                <w:lang w:val="sr-Latn-CS"/>
              </w:rPr>
            </w:pPr>
            <w:r w:rsidRPr="00092907">
              <w:rPr>
                <w:rFonts w:ascii="Arial" w:hAnsi="Arial" w:cs="Arial"/>
                <w:sz w:val="22"/>
                <w:szCs w:val="22"/>
                <w:lang w:val="sr-Latn-CS"/>
              </w:rPr>
              <w:t>Troškove revizije snosi investitor.</w:t>
            </w:r>
          </w:p>
          <w:p w:rsidR="00102C34" w:rsidRPr="00092907" w:rsidRDefault="00102C34" w:rsidP="00102C34">
            <w:pPr>
              <w:ind w:right="-34"/>
              <w:jc w:val="both"/>
              <w:rPr>
                <w:rFonts w:ascii="Arial" w:hAnsi="Arial" w:cs="Arial"/>
                <w:sz w:val="22"/>
                <w:szCs w:val="22"/>
                <w:lang w:val="sr-Latn-CS"/>
              </w:rPr>
            </w:pPr>
            <w:r w:rsidRPr="00092907">
              <w:rPr>
                <w:rFonts w:ascii="Arial" w:hAnsi="Arial" w:cs="Arial"/>
                <w:sz w:val="22"/>
                <w:szCs w:val="22"/>
                <w:lang w:val="sr-Latn-CS"/>
              </w:rPr>
              <w:t>U slučaju da, poslije revizije idejnog projekta, odnosno glavnog projekta složenog inženjerskog objekta, a prije podnošenja zahtjeva za dobijanje građevinske dozvole, dođe do promjene tehničkih propisa, idejni projekat odnosno glavni projekat se mora usaglasiti sa tim promjenama i podliježe ponovnoj reviziji.</w:t>
            </w:r>
          </w:p>
          <w:p w:rsidR="00102C34" w:rsidRPr="00092907" w:rsidRDefault="00102C34" w:rsidP="00102C34">
            <w:pPr>
              <w:ind w:right="-34"/>
              <w:jc w:val="both"/>
              <w:rPr>
                <w:rFonts w:ascii="Arial" w:hAnsi="Arial" w:cs="Arial"/>
                <w:sz w:val="22"/>
                <w:szCs w:val="22"/>
                <w:lang w:val="sr-Latn-CS"/>
              </w:rPr>
            </w:pPr>
          </w:p>
          <w:p w:rsidR="00102C34" w:rsidRPr="00092907" w:rsidRDefault="00102C34" w:rsidP="00102C34">
            <w:pPr>
              <w:ind w:right="-34"/>
              <w:jc w:val="both"/>
              <w:rPr>
                <w:rFonts w:ascii="Arial" w:hAnsi="Arial" w:cs="Arial"/>
                <w:sz w:val="22"/>
                <w:szCs w:val="22"/>
                <w:lang w:val="sr-Latn-CS"/>
              </w:rPr>
            </w:pPr>
            <w:r w:rsidRPr="00092907">
              <w:rPr>
                <w:rFonts w:ascii="Arial" w:hAnsi="Arial" w:cs="Arial"/>
                <w:sz w:val="22"/>
                <w:szCs w:val="22"/>
                <w:lang w:val="sr-Latn-CS"/>
              </w:rPr>
              <w:t>Shodno članu 14</w:t>
            </w:r>
            <w:r w:rsidRPr="00092907">
              <w:rPr>
                <w:rFonts w:ascii="Arial" w:hAnsi="Arial" w:cs="Arial"/>
                <w:sz w:val="22"/>
                <w:szCs w:val="22"/>
              </w:rPr>
              <w:t xml:space="preserve"> </w:t>
            </w:r>
            <w:r w:rsidRPr="00092907">
              <w:rPr>
                <w:rFonts w:ascii="Arial" w:hAnsi="Arial" w:cs="Arial"/>
                <w:sz w:val="22"/>
                <w:szCs w:val="22"/>
                <w:lang w:val="sr-Latn-CS"/>
              </w:rPr>
              <w:t>Odluke o izgradnji lokalnih objekata od opšteg interesa ("Službeni list Crne Gore - opštinski propisi", br. 18/14,42/15, 28/16 i 7/21)</w:t>
            </w:r>
            <w:r w:rsidRPr="00092907">
              <w:rPr>
                <w:rFonts w:ascii="Arial" w:hAnsi="Arial" w:cs="Arial"/>
                <w:sz w:val="22"/>
                <w:szCs w:val="22"/>
              </w:rPr>
              <w:t xml:space="preserve"> </w:t>
            </w:r>
            <w:r w:rsidRPr="00092907">
              <w:rPr>
                <w:rFonts w:ascii="Arial" w:hAnsi="Arial" w:cs="Arial"/>
                <w:sz w:val="22"/>
                <w:szCs w:val="22"/>
                <w:lang w:val="sr-Latn-CS"/>
              </w:rPr>
              <w:t>investitor je dužan da prije početka korišćenja objekta, podnese zahtjev za izdavanje upotrebne dozvole, najkasnije u roku od 7 dana od dana završetka radova.</w:t>
            </w:r>
          </w:p>
          <w:p w:rsidR="00102C34" w:rsidRPr="00092907" w:rsidRDefault="00102C34" w:rsidP="00102C34">
            <w:pPr>
              <w:ind w:right="-34"/>
              <w:jc w:val="both"/>
              <w:rPr>
                <w:rFonts w:ascii="Arial" w:hAnsi="Arial" w:cs="Arial"/>
                <w:sz w:val="22"/>
                <w:szCs w:val="22"/>
                <w:lang w:val="sr-Latn-CS"/>
              </w:rPr>
            </w:pPr>
            <w:r w:rsidRPr="00092907">
              <w:rPr>
                <w:rFonts w:ascii="Arial" w:hAnsi="Arial" w:cs="Arial"/>
                <w:sz w:val="22"/>
                <w:szCs w:val="22"/>
                <w:lang w:val="sr-Latn-CS"/>
              </w:rPr>
              <w:t>Odobrenje za upotrebu izdaje organ lokalne uprave nadležan za poslove izgradnje objekata rješenjem.</w:t>
            </w:r>
          </w:p>
          <w:p w:rsidR="00102C34" w:rsidRPr="00092907" w:rsidRDefault="00102C34" w:rsidP="00102C34">
            <w:pPr>
              <w:ind w:right="-34"/>
              <w:jc w:val="both"/>
              <w:rPr>
                <w:rFonts w:ascii="Arial" w:hAnsi="Arial" w:cs="Arial"/>
                <w:sz w:val="22"/>
                <w:szCs w:val="22"/>
                <w:lang w:val="sr-Latn-CS"/>
              </w:rPr>
            </w:pPr>
          </w:p>
          <w:p w:rsidR="00102C34" w:rsidRPr="00092907" w:rsidRDefault="00102C34" w:rsidP="00102C34">
            <w:pPr>
              <w:ind w:right="-34"/>
              <w:jc w:val="both"/>
              <w:rPr>
                <w:rFonts w:ascii="Arial" w:hAnsi="Arial" w:cs="Arial"/>
                <w:sz w:val="22"/>
                <w:szCs w:val="22"/>
                <w:lang w:val="sr-Latn-CS"/>
              </w:rPr>
            </w:pPr>
            <w:r w:rsidRPr="00092907">
              <w:rPr>
                <w:rFonts w:ascii="Arial" w:hAnsi="Arial" w:cs="Arial"/>
                <w:sz w:val="22"/>
                <w:szCs w:val="22"/>
                <w:lang w:val="sr-Latn-CS"/>
              </w:rPr>
              <w:t>Shodno članu 14 Odluke o izgradnji lokalnih objekata od opšteg interesa ("Službeni list Crne Gore - opštinski propisi", br. 18/14,42/15, 28/16 i 7/21)</w:t>
            </w:r>
            <w:r w:rsidRPr="00092907">
              <w:rPr>
                <w:rFonts w:ascii="Arial" w:hAnsi="Arial" w:cs="Arial"/>
                <w:sz w:val="22"/>
                <w:szCs w:val="22"/>
              </w:rPr>
              <w:t xml:space="preserve"> </w:t>
            </w:r>
            <w:r w:rsidRPr="00092907">
              <w:rPr>
                <w:rFonts w:ascii="Arial" w:hAnsi="Arial" w:cs="Arial"/>
                <w:sz w:val="22"/>
                <w:szCs w:val="22"/>
                <w:lang w:val="sr-Latn-CS"/>
              </w:rPr>
              <w:t>uz zahtjev za izdavanje odobrenja za upotrebu lokalnih objekata od opšteg interesa investitor podnosi:</w:t>
            </w:r>
          </w:p>
          <w:p w:rsidR="00102C34" w:rsidRPr="00092907" w:rsidRDefault="00102C34" w:rsidP="00102C34">
            <w:pPr>
              <w:ind w:right="-34"/>
              <w:jc w:val="both"/>
              <w:rPr>
                <w:rFonts w:ascii="Arial" w:hAnsi="Arial" w:cs="Arial"/>
                <w:sz w:val="22"/>
                <w:szCs w:val="22"/>
                <w:lang w:val="sr-Latn-CS"/>
              </w:rPr>
            </w:pPr>
            <w:r w:rsidRPr="00092907">
              <w:rPr>
                <w:rFonts w:ascii="Arial" w:hAnsi="Arial" w:cs="Arial"/>
                <w:sz w:val="22"/>
                <w:szCs w:val="22"/>
                <w:lang w:val="sr-Latn-CS"/>
              </w:rPr>
              <w:t xml:space="preserve">   1) Izjavu izvođača radova da je objekat izgrađen u skladu sa odobrenjem i revidovanim glavnim projektom;</w:t>
            </w:r>
          </w:p>
          <w:p w:rsidR="00102C34" w:rsidRPr="00092907" w:rsidRDefault="00102C34" w:rsidP="00102C34">
            <w:pPr>
              <w:ind w:right="-34"/>
              <w:jc w:val="both"/>
              <w:rPr>
                <w:rFonts w:ascii="Arial" w:hAnsi="Arial" w:cs="Arial"/>
                <w:sz w:val="22"/>
                <w:szCs w:val="22"/>
                <w:lang w:val="sr-Latn-CS"/>
              </w:rPr>
            </w:pPr>
            <w:r w:rsidRPr="00092907">
              <w:rPr>
                <w:rFonts w:ascii="Arial" w:hAnsi="Arial" w:cs="Arial"/>
                <w:sz w:val="22"/>
                <w:szCs w:val="22"/>
                <w:lang w:val="sr-Latn-CS"/>
              </w:rPr>
              <w:t xml:space="preserve">   2) Izjavu nadzornog inženjera da je objekat izgrađen u skladu sa odobrenjem i revidovanim glavnim projektom;</w:t>
            </w:r>
          </w:p>
          <w:p w:rsidR="00102C34" w:rsidRDefault="00102C34" w:rsidP="00102C34">
            <w:pPr>
              <w:ind w:right="-34"/>
              <w:jc w:val="both"/>
              <w:rPr>
                <w:rFonts w:ascii="Arial" w:hAnsi="Arial" w:cs="Arial"/>
                <w:sz w:val="22"/>
                <w:szCs w:val="22"/>
                <w:lang w:val="sr-Latn-CS"/>
              </w:rPr>
            </w:pPr>
            <w:r w:rsidRPr="00092907">
              <w:rPr>
                <w:rFonts w:ascii="Arial" w:hAnsi="Arial" w:cs="Arial"/>
                <w:sz w:val="22"/>
                <w:szCs w:val="22"/>
                <w:lang w:val="sr-Latn-CS"/>
              </w:rPr>
              <w:lastRenderedPageBreak/>
              <w:t xml:space="preserve">   3) Elaborate originalnih terenskih podataka izvedenog stanja ovjerene od strane licencirane geodetske organizacije.</w:t>
            </w:r>
          </w:p>
          <w:p w:rsidR="00922392" w:rsidRPr="00092907" w:rsidRDefault="00922392" w:rsidP="00102C34">
            <w:pPr>
              <w:ind w:right="-34"/>
              <w:jc w:val="both"/>
              <w:rPr>
                <w:rFonts w:ascii="Arial" w:hAnsi="Arial" w:cs="Arial"/>
                <w:sz w:val="22"/>
                <w:szCs w:val="22"/>
                <w:lang w:val="sr-Latn-CS"/>
              </w:rPr>
            </w:pPr>
          </w:p>
        </w:tc>
      </w:tr>
      <w:tr w:rsidR="00102C34" w:rsidRPr="007F5366" w:rsidTr="00922392">
        <w:trPr>
          <w:trHeight w:val="283"/>
          <w:jc w:val="center"/>
        </w:trPr>
        <w:tc>
          <w:tcPr>
            <w:tcW w:w="11558" w:type="dxa"/>
            <w:gridSpan w:val="5"/>
            <w:noWrap/>
            <w:vAlign w:val="center"/>
            <w:hideMark/>
          </w:tcPr>
          <w:p w:rsidR="00102C34" w:rsidRPr="007F5366" w:rsidRDefault="00102C34" w:rsidP="00102C34">
            <w:pPr>
              <w:pStyle w:val="ListParagraph"/>
              <w:tabs>
                <w:tab w:val="left" w:pos="6915"/>
              </w:tabs>
              <w:rPr>
                <w:rFonts w:ascii="Arial" w:hAnsi="Arial" w:cs="Arial"/>
                <w:sz w:val="22"/>
                <w:szCs w:val="22"/>
              </w:rPr>
            </w:pPr>
          </w:p>
        </w:tc>
      </w:tr>
      <w:tr w:rsidR="000E4037" w:rsidRPr="007F5366" w:rsidTr="001B7395">
        <w:trPr>
          <w:trHeight w:val="300"/>
          <w:jc w:val="center"/>
        </w:trPr>
        <w:tc>
          <w:tcPr>
            <w:tcW w:w="1772" w:type="dxa"/>
            <w:noWrap/>
            <w:vAlign w:val="center"/>
            <w:hideMark/>
          </w:tcPr>
          <w:p w:rsidR="000E4037" w:rsidRPr="00FF05F8" w:rsidRDefault="000E4037" w:rsidP="000E4037">
            <w:pPr>
              <w:pStyle w:val="ListParagraph"/>
              <w:numPr>
                <w:ilvl w:val="0"/>
                <w:numId w:val="1"/>
              </w:numPr>
              <w:tabs>
                <w:tab w:val="left" w:pos="6915"/>
              </w:tabs>
              <w:ind w:left="720"/>
              <w:rPr>
                <w:rFonts w:ascii="Arial" w:hAnsi="Arial" w:cs="Arial"/>
                <w:sz w:val="22"/>
                <w:szCs w:val="22"/>
              </w:rPr>
            </w:pPr>
            <w:r w:rsidRPr="00FF05F8">
              <w:rPr>
                <w:rFonts w:ascii="Arial" w:hAnsi="Arial" w:cs="Arial"/>
                <w:sz w:val="22"/>
                <w:szCs w:val="22"/>
              </w:rPr>
              <w:t>.</w:t>
            </w:r>
          </w:p>
        </w:tc>
        <w:tc>
          <w:tcPr>
            <w:tcW w:w="4862" w:type="dxa"/>
            <w:noWrap/>
            <w:vAlign w:val="center"/>
            <w:hideMark/>
          </w:tcPr>
          <w:p w:rsidR="000E4037" w:rsidRPr="00FF05F8" w:rsidRDefault="000E4037" w:rsidP="000E4037">
            <w:pPr>
              <w:tabs>
                <w:tab w:val="left" w:pos="6915"/>
              </w:tabs>
              <w:rPr>
                <w:rFonts w:ascii="Arial" w:hAnsi="Arial" w:cs="Arial"/>
                <w:b/>
                <w:bCs/>
                <w:sz w:val="22"/>
                <w:szCs w:val="22"/>
              </w:rPr>
            </w:pPr>
            <w:r w:rsidRPr="00FF05F8">
              <w:rPr>
                <w:rFonts w:ascii="Arial" w:hAnsi="Arial" w:cs="Arial"/>
                <w:b/>
                <w:bCs/>
                <w:sz w:val="22"/>
                <w:szCs w:val="22"/>
              </w:rPr>
              <w:t xml:space="preserve">OBRAĐIVAČ </w:t>
            </w:r>
            <w:r>
              <w:rPr>
                <w:rFonts w:ascii="Arial" w:hAnsi="Arial" w:cs="Arial"/>
                <w:b/>
                <w:bCs/>
                <w:sz w:val="22"/>
                <w:szCs w:val="22"/>
              </w:rPr>
              <w:t>NACRTA PROGRAMSKOG ZADATKA</w:t>
            </w:r>
            <w:r w:rsidRPr="00FF05F8">
              <w:rPr>
                <w:rFonts w:ascii="Arial" w:hAnsi="Arial" w:cs="Arial"/>
                <w:b/>
                <w:bCs/>
                <w:sz w:val="22"/>
                <w:szCs w:val="22"/>
              </w:rPr>
              <w:t>:</w:t>
            </w:r>
          </w:p>
        </w:tc>
        <w:tc>
          <w:tcPr>
            <w:tcW w:w="4924" w:type="dxa"/>
            <w:gridSpan w:val="3"/>
            <w:noWrap/>
            <w:vAlign w:val="center"/>
            <w:hideMark/>
          </w:tcPr>
          <w:p w:rsidR="000E4037" w:rsidRPr="00FF05F8" w:rsidRDefault="000E4037" w:rsidP="000E4037">
            <w:pPr>
              <w:jc w:val="both"/>
              <w:rPr>
                <w:rFonts w:ascii="Arial" w:hAnsi="Arial" w:cs="Arial"/>
                <w:b/>
                <w:sz w:val="22"/>
                <w:szCs w:val="22"/>
              </w:rPr>
            </w:pPr>
          </w:p>
        </w:tc>
      </w:tr>
      <w:tr w:rsidR="000E4037" w:rsidRPr="007F5366" w:rsidTr="001B7395">
        <w:trPr>
          <w:trHeight w:val="920"/>
          <w:jc w:val="center"/>
        </w:trPr>
        <w:tc>
          <w:tcPr>
            <w:tcW w:w="1772" w:type="dxa"/>
            <w:noWrap/>
            <w:vAlign w:val="center"/>
          </w:tcPr>
          <w:p w:rsidR="000E4037" w:rsidRPr="00FF05F8" w:rsidRDefault="000E4037" w:rsidP="000E4037">
            <w:pPr>
              <w:tabs>
                <w:tab w:val="left" w:pos="6915"/>
              </w:tabs>
              <w:ind w:left="360"/>
              <w:rPr>
                <w:rFonts w:ascii="Arial" w:hAnsi="Arial" w:cs="Arial"/>
                <w:sz w:val="22"/>
                <w:szCs w:val="22"/>
              </w:rPr>
            </w:pPr>
          </w:p>
        </w:tc>
        <w:tc>
          <w:tcPr>
            <w:tcW w:w="4862" w:type="dxa"/>
            <w:noWrap/>
          </w:tcPr>
          <w:p w:rsidR="000E4037" w:rsidRDefault="000E4037" w:rsidP="000E4037">
            <w:pPr>
              <w:tabs>
                <w:tab w:val="left" w:pos="6915"/>
              </w:tabs>
              <w:rPr>
                <w:rFonts w:ascii="Arial" w:hAnsi="Arial" w:cs="Arial"/>
                <w:b/>
                <w:bCs/>
                <w:sz w:val="22"/>
                <w:szCs w:val="22"/>
              </w:rPr>
            </w:pPr>
          </w:p>
          <w:p w:rsidR="000E4037" w:rsidRPr="00FF05F8" w:rsidRDefault="000E4037" w:rsidP="000E4037">
            <w:pPr>
              <w:tabs>
                <w:tab w:val="left" w:pos="6915"/>
              </w:tabs>
              <w:rPr>
                <w:rFonts w:ascii="Arial" w:hAnsi="Arial" w:cs="Arial"/>
                <w:b/>
                <w:bCs/>
                <w:sz w:val="22"/>
                <w:szCs w:val="22"/>
              </w:rPr>
            </w:pPr>
            <w:r>
              <w:rPr>
                <w:rFonts w:ascii="Arial" w:hAnsi="Arial" w:cs="Arial"/>
                <w:b/>
                <w:bCs/>
                <w:sz w:val="22"/>
                <w:szCs w:val="22"/>
              </w:rPr>
              <w:t>Milica Manojlović, dipl.ing.arh</w:t>
            </w:r>
          </w:p>
        </w:tc>
        <w:tc>
          <w:tcPr>
            <w:tcW w:w="4924" w:type="dxa"/>
            <w:gridSpan w:val="3"/>
            <w:noWrap/>
            <w:vAlign w:val="center"/>
          </w:tcPr>
          <w:p w:rsidR="000E4037" w:rsidRPr="00FF05F8" w:rsidRDefault="000E4037" w:rsidP="000E4037">
            <w:pPr>
              <w:tabs>
                <w:tab w:val="left" w:pos="6915"/>
              </w:tabs>
              <w:jc w:val="both"/>
              <w:rPr>
                <w:rFonts w:ascii="Arial" w:hAnsi="Arial" w:cs="Arial"/>
                <w:bCs/>
                <w:sz w:val="22"/>
                <w:szCs w:val="22"/>
              </w:rPr>
            </w:pPr>
            <w:r w:rsidRPr="00FF05F8">
              <w:rPr>
                <w:rFonts w:ascii="Arial" w:hAnsi="Arial" w:cs="Arial"/>
                <w:bCs/>
                <w:sz w:val="22"/>
                <w:szCs w:val="22"/>
              </w:rPr>
              <w:t>Potpis obrađivača:</w:t>
            </w:r>
          </w:p>
          <w:p w:rsidR="000E4037" w:rsidRPr="00FF05F8" w:rsidRDefault="000E4037" w:rsidP="000E4037">
            <w:pPr>
              <w:ind w:right="-425"/>
              <w:jc w:val="both"/>
              <w:rPr>
                <w:rFonts w:ascii="Arial" w:hAnsi="Arial" w:cs="Arial"/>
                <w:sz w:val="22"/>
                <w:szCs w:val="22"/>
                <w:lang w:val="sl-SI"/>
              </w:rPr>
            </w:pPr>
          </w:p>
        </w:tc>
      </w:tr>
      <w:tr w:rsidR="000E4037" w:rsidRPr="007F5366" w:rsidTr="001B7395">
        <w:trPr>
          <w:trHeight w:val="920"/>
          <w:jc w:val="center"/>
        </w:trPr>
        <w:tc>
          <w:tcPr>
            <w:tcW w:w="1772" w:type="dxa"/>
            <w:noWrap/>
          </w:tcPr>
          <w:p w:rsidR="000E4037" w:rsidRPr="00FF05F8" w:rsidRDefault="000E4037" w:rsidP="000E4037">
            <w:pPr>
              <w:pStyle w:val="ListParagraph"/>
              <w:numPr>
                <w:ilvl w:val="0"/>
                <w:numId w:val="1"/>
              </w:numPr>
              <w:tabs>
                <w:tab w:val="left" w:pos="6915"/>
              </w:tabs>
              <w:ind w:left="720"/>
              <w:rPr>
                <w:rFonts w:ascii="Arial" w:hAnsi="Arial" w:cs="Arial"/>
                <w:sz w:val="22"/>
                <w:szCs w:val="22"/>
              </w:rPr>
            </w:pPr>
            <w:r w:rsidRPr="00FF05F8">
              <w:rPr>
                <w:rFonts w:ascii="Arial" w:hAnsi="Arial" w:cs="Arial"/>
                <w:sz w:val="22"/>
                <w:szCs w:val="22"/>
              </w:rPr>
              <w:t>.</w:t>
            </w:r>
          </w:p>
        </w:tc>
        <w:tc>
          <w:tcPr>
            <w:tcW w:w="4862" w:type="dxa"/>
            <w:noWrap/>
            <w:vAlign w:val="center"/>
          </w:tcPr>
          <w:p w:rsidR="000E4037" w:rsidRPr="00FF05F8" w:rsidRDefault="000E4037" w:rsidP="000E4037">
            <w:pPr>
              <w:tabs>
                <w:tab w:val="left" w:pos="6915"/>
              </w:tabs>
              <w:jc w:val="both"/>
              <w:rPr>
                <w:rFonts w:ascii="Arial" w:hAnsi="Arial" w:cs="Arial"/>
                <w:b/>
                <w:bCs/>
                <w:sz w:val="22"/>
                <w:szCs w:val="22"/>
              </w:rPr>
            </w:pPr>
            <w:r w:rsidRPr="00FF05F8">
              <w:rPr>
                <w:rFonts w:ascii="Arial" w:hAnsi="Arial" w:cs="Arial"/>
                <w:b/>
                <w:bCs/>
                <w:sz w:val="22"/>
                <w:szCs w:val="22"/>
              </w:rPr>
              <w:t>OVLAŠĆENO SLUŽBENO LICE:</w:t>
            </w:r>
          </w:p>
        </w:tc>
        <w:tc>
          <w:tcPr>
            <w:tcW w:w="4924" w:type="dxa"/>
            <w:gridSpan w:val="3"/>
            <w:noWrap/>
          </w:tcPr>
          <w:p w:rsidR="000E4037" w:rsidRPr="00FF05F8" w:rsidRDefault="000E4037" w:rsidP="000E4037">
            <w:pPr>
              <w:tabs>
                <w:tab w:val="left" w:pos="6915"/>
              </w:tabs>
              <w:jc w:val="both"/>
              <w:rPr>
                <w:rFonts w:ascii="Arial" w:hAnsi="Arial" w:cs="Arial"/>
                <w:sz w:val="22"/>
                <w:szCs w:val="22"/>
              </w:rPr>
            </w:pPr>
          </w:p>
        </w:tc>
      </w:tr>
      <w:tr w:rsidR="000E4037" w:rsidRPr="007F5366" w:rsidTr="001B7395">
        <w:trPr>
          <w:trHeight w:val="920"/>
          <w:jc w:val="center"/>
        </w:trPr>
        <w:tc>
          <w:tcPr>
            <w:tcW w:w="1772" w:type="dxa"/>
            <w:noWrap/>
          </w:tcPr>
          <w:p w:rsidR="000E4037" w:rsidRPr="00FF05F8" w:rsidRDefault="000E4037" w:rsidP="000E4037">
            <w:pPr>
              <w:pStyle w:val="ListParagraph"/>
              <w:tabs>
                <w:tab w:val="left" w:pos="6915"/>
              </w:tabs>
              <w:rPr>
                <w:rFonts w:ascii="Arial" w:hAnsi="Arial" w:cs="Arial"/>
                <w:sz w:val="22"/>
                <w:szCs w:val="22"/>
              </w:rPr>
            </w:pPr>
          </w:p>
        </w:tc>
        <w:tc>
          <w:tcPr>
            <w:tcW w:w="4862" w:type="dxa"/>
            <w:noWrap/>
            <w:vAlign w:val="center"/>
          </w:tcPr>
          <w:p w:rsidR="000E4037" w:rsidRPr="00FF05F8" w:rsidRDefault="000E4037" w:rsidP="000E4037">
            <w:pPr>
              <w:tabs>
                <w:tab w:val="left" w:pos="6915"/>
              </w:tabs>
              <w:rPr>
                <w:rFonts w:ascii="Arial" w:hAnsi="Arial" w:cs="Arial"/>
                <w:bCs/>
                <w:sz w:val="22"/>
                <w:szCs w:val="22"/>
              </w:rPr>
            </w:pPr>
            <w:r w:rsidRPr="00FF05F8">
              <w:rPr>
                <w:rFonts w:ascii="Arial" w:hAnsi="Arial" w:cs="Arial"/>
                <w:bCs/>
                <w:sz w:val="22"/>
                <w:szCs w:val="22"/>
              </w:rPr>
              <w:t>Sekretarka Sekretarijata</w:t>
            </w:r>
          </w:p>
          <w:p w:rsidR="000E4037" w:rsidRPr="00FF05F8" w:rsidRDefault="000E4037" w:rsidP="000E4037">
            <w:pPr>
              <w:tabs>
                <w:tab w:val="left" w:pos="6915"/>
              </w:tabs>
              <w:jc w:val="both"/>
              <w:rPr>
                <w:rFonts w:ascii="Arial" w:hAnsi="Arial" w:cs="Arial"/>
                <w:bCs/>
                <w:sz w:val="22"/>
                <w:szCs w:val="22"/>
              </w:rPr>
            </w:pPr>
            <w:r>
              <w:rPr>
                <w:rFonts w:ascii="Arial" w:hAnsi="Arial" w:cs="Arial"/>
                <w:b/>
                <w:bCs/>
                <w:sz w:val="22"/>
                <w:szCs w:val="22"/>
              </w:rPr>
              <w:t>Milica Manojlović, dipl.ing.arh.</w:t>
            </w:r>
          </w:p>
        </w:tc>
        <w:tc>
          <w:tcPr>
            <w:tcW w:w="4924" w:type="dxa"/>
            <w:gridSpan w:val="3"/>
            <w:noWrap/>
          </w:tcPr>
          <w:p w:rsidR="000E4037" w:rsidRPr="00FF05F8" w:rsidRDefault="000E4037" w:rsidP="000E4037">
            <w:pPr>
              <w:tabs>
                <w:tab w:val="left" w:pos="6915"/>
              </w:tabs>
              <w:jc w:val="both"/>
              <w:rPr>
                <w:rFonts w:ascii="Arial" w:hAnsi="Arial" w:cs="Arial"/>
                <w:bCs/>
                <w:sz w:val="22"/>
                <w:szCs w:val="22"/>
              </w:rPr>
            </w:pPr>
            <w:r w:rsidRPr="00FF05F8">
              <w:rPr>
                <w:rFonts w:ascii="Arial" w:hAnsi="Arial" w:cs="Arial"/>
                <w:bCs/>
                <w:sz w:val="22"/>
                <w:szCs w:val="22"/>
              </w:rPr>
              <w:t>Potpis ovlašćenog službenog lica:</w:t>
            </w:r>
          </w:p>
        </w:tc>
      </w:tr>
      <w:tr w:rsidR="000E4037" w:rsidRPr="007F5366" w:rsidTr="001B7395">
        <w:trPr>
          <w:trHeight w:val="920"/>
          <w:jc w:val="center"/>
        </w:trPr>
        <w:tc>
          <w:tcPr>
            <w:tcW w:w="1772" w:type="dxa"/>
            <w:noWrap/>
            <w:vAlign w:val="center"/>
          </w:tcPr>
          <w:p w:rsidR="000E4037" w:rsidRPr="00FF05F8" w:rsidRDefault="000E4037" w:rsidP="000E4037">
            <w:pPr>
              <w:pStyle w:val="ListParagraph"/>
              <w:numPr>
                <w:ilvl w:val="0"/>
                <w:numId w:val="1"/>
              </w:numPr>
              <w:tabs>
                <w:tab w:val="left" w:pos="6915"/>
              </w:tabs>
              <w:ind w:left="720"/>
              <w:rPr>
                <w:rFonts w:ascii="Arial" w:hAnsi="Arial" w:cs="Arial"/>
                <w:sz w:val="22"/>
                <w:szCs w:val="22"/>
              </w:rPr>
            </w:pPr>
          </w:p>
        </w:tc>
        <w:tc>
          <w:tcPr>
            <w:tcW w:w="4862" w:type="dxa"/>
            <w:noWrap/>
            <w:vAlign w:val="center"/>
          </w:tcPr>
          <w:p w:rsidR="000E4037" w:rsidRPr="00FF05F8" w:rsidRDefault="000E4037" w:rsidP="000E4037">
            <w:pPr>
              <w:tabs>
                <w:tab w:val="left" w:pos="6915"/>
              </w:tabs>
              <w:rPr>
                <w:rFonts w:ascii="Arial" w:hAnsi="Arial" w:cs="Arial"/>
                <w:b/>
                <w:bCs/>
                <w:sz w:val="22"/>
                <w:szCs w:val="22"/>
              </w:rPr>
            </w:pPr>
            <w:r w:rsidRPr="00FF05F8">
              <w:rPr>
                <w:rFonts w:ascii="Arial" w:hAnsi="Arial" w:cs="Arial"/>
                <w:b/>
                <w:bCs/>
                <w:sz w:val="22"/>
                <w:szCs w:val="22"/>
              </w:rPr>
              <w:t>M.P.</w:t>
            </w:r>
          </w:p>
        </w:tc>
        <w:tc>
          <w:tcPr>
            <w:tcW w:w="4924" w:type="dxa"/>
            <w:gridSpan w:val="3"/>
            <w:noWrap/>
          </w:tcPr>
          <w:p w:rsidR="000E4037" w:rsidRPr="00FF05F8" w:rsidRDefault="000E4037" w:rsidP="000E4037">
            <w:pPr>
              <w:tabs>
                <w:tab w:val="left" w:pos="6915"/>
              </w:tabs>
              <w:jc w:val="center"/>
              <w:rPr>
                <w:rFonts w:ascii="Arial" w:hAnsi="Arial" w:cs="Arial"/>
                <w:sz w:val="22"/>
                <w:szCs w:val="22"/>
              </w:rPr>
            </w:pPr>
          </w:p>
          <w:p w:rsidR="000E4037" w:rsidRPr="00FF05F8" w:rsidRDefault="000E4037" w:rsidP="000E4037">
            <w:pPr>
              <w:tabs>
                <w:tab w:val="left" w:pos="6915"/>
              </w:tabs>
              <w:jc w:val="center"/>
              <w:rPr>
                <w:rFonts w:ascii="Arial" w:hAnsi="Arial" w:cs="Arial"/>
                <w:sz w:val="22"/>
                <w:szCs w:val="22"/>
              </w:rPr>
            </w:pPr>
          </w:p>
          <w:p w:rsidR="000E4037" w:rsidRPr="00FF05F8" w:rsidRDefault="000E4037" w:rsidP="000E4037">
            <w:pPr>
              <w:tabs>
                <w:tab w:val="left" w:pos="6915"/>
              </w:tabs>
              <w:jc w:val="center"/>
              <w:rPr>
                <w:rFonts w:ascii="Arial" w:hAnsi="Arial" w:cs="Arial"/>
                <w:sz w:val="22"/>
                <w:szCs w:val="22"/>
              </w:rPr>
            </w:pPr>
          </w:p>
          <w:p w:rsidR="000E4037" w:rsidRPr="00FF05F8" w:rsidRDefault="000E4037" w:rsidP="000E4037">
            <w:pPr>
              <w:tabs>
                <w:tab w:val="left" w:pos="6915"/>
              </w:tabs>
              <w:jc w:val="center"/>
              <w:rPr>
                <w:rFonts w:ascii="Arial" w:hAnsi="Arial" w:cs="Arial"/>
                <w:sz w:val="22"/>
                <w:szCs w:val="22"/>
              </w:rPr>
            </w:pPr>
          </w:p>
        </w:tc>
      </w:tr>
      <w:tr w:rsidR="000E4037" w:rsidRPr="007F5366" w:rsidTr="001B7395">
        <w:trPr>
          <w:trHeight w:val="920"/>
          <w:jc w:val="center"/>
        </w:trPr>
        <w:tc>
          <w:tcPr>
            <w:tcW w:w="1772" w:type="dxa"/>
            <w:noWrap/>
          </w:tcPr>
          <w:p w:rsidR="000E4037" w:rsidRPr="00FF05F8" w:rsidRDefault="000E4037" w:rsidP="000E4037">
            <w:pPr>
              <w:tabs>
                <w:tab w:val="left" w:pos="6915"/>
              </w:tabs>
              <w:ind w:left="360"/>
              <w:rPr>
                <w:rFonts w:ascii="Arial" w:hAnsi="Arial" w:cs="Arial"/>
                <w:sz w:val="22"/>
                <w:szCs w:val="22"/>
              </w:rPr>
            </w:pPr>
            <w:r w:rsidRPr="00FF05F8">
              <w:rPr>
                <w:rFonts w:ascii="Arial" w:hAnsi="Arial" w:cs="Arial"/>
                <w:sz w:val="22"/>
                <w:szCs w:val="22"/>
              </w:rPr>
              <w:t>2</w:t>
            </w:r>
            <w:r>
              <w:rPr>
                <w:rFonts w:ascii="Arial" w:hAnsi="Arial" w:cs="Arial"/>
                <w:sz w:val="22"/>
                <w:szCs w:val="22"/>
              </w:rPr>
              <w:t>3.</w:t>
            </w:r>
          </w:p>
        </w:tc>
        <w:tc>
          <w:tcPr>
            <w:tcW w:w="4862" w:type="dxa"/>
            <w:noWrap/>
          </w:tcPr>
          <w:p w:rsidR="000E4037" w:rsidRPr="00FF05F8" w:rsidRDefault="000E4037" w:rsidP="000E4037">
            <w:pPr>
              <w:rPr>
                <w:rFonts w:ascii="Arial" w:hAnsi="Arial" w:cs="Arial"/>
                <w:b/>
                <w:bCs/>
                <w:sz w:val="22"/>
                <w:szCs w:val="22"/>
              </w:rPr>
            </w:pPr>
            <w:r w:rsidRPr="00FF05F8">
              <w:rPr>
                <w:rFonts w:ascii="Arial" w:hAnsi="Arial" w:cs="Arial"/>
                <w:b/>
                <w:bCs/>
                <w:sz w:val="22"/>
                <w:szCs w:val="22"/>
              </w:rPr>
              <w:t>PRILOZI:</w:t>
            </w:r>
          </w:p>
          <w:p w:rsidR="000E4037" w:rsidRDefault="000E4037" w:rsidP="000E4037">
            <w:pPr>
              <w:pStyle w:val="ListParagraph"/>
              <w:tabs>
                <w:tab w:val="left" w:pos="6915"/>
              </w:tabs>
              <w:ind w:left="177"/>
              <w:rPr>
                <w:rFonts w:ascii="Arial" w:hAnsi="Arial" w:cs="Arial"/>
                <w:i/>
                <w:sz w:val="22"/>
                <w:szCs w:val="22"/>
              </w:rPr>
            </w:pPr>
            <w:r w:rsidRPr="00FF05F8">
              <w:rPr>
                <w:rFonts w:ascii="Arial" w:hAnsi="Arial" w:cs="Arial"/>
                <w:i/>
                <w:sz w:val="22"/>
                <w:szCs w:val="22"/>
              </w:rPr>
              <w:t xml:space="preserve">Grafički prilozi </w:t>
            </w:r>
          </w:p>
          <w:p w:rsidR="008656E4" w:rsidRPr="0007339A" w:rsidRDefault="008656E4" w:rsidP="008656E4">
            <w:pPr>
              <w:pStyle w:val="ListParagraph"/>
              <w:numPr>
                <w:ilvl w:val="0"/>
                <w:numId w:val="2"/>
              </w:numPr>
              <w:tabs>
                <w:tab w:val="left" w:pos="6915"/>
              </w:tabs>
              <w:ind w:left="284"/>
              <w:jc w:val="both"/>
              <w:rPr>
                <w:rFonts w:ascii="Arial" w:eastAsia="Times New Roman" w:hAnsi="Arial" w:cs="Arial"/>
                <w:sz w:val="22"/>
                <w:szCs w:val="22"/>
                <w:lang w:val="hr-HR" w:eastAsia="hr-HR"/>
              </w:rPr>
            </w:pPr>
            <w:r>
              <w:rPr>
                <w:rFonts w:ascii="Arial" w:eastAsia="Times New Roman" w:hAnsi="Arial" w:cs="Arial"/>
                <w:sz w:val="22"/>
                <w:szCs w:val="22"/>
                <w:lang w:val="hr-HR" w:eastAsia="hr-HR"/>
              </w:rPr>
              <w:t>Katastarska</w:t>
            </w:r>
            <w:r w:rsidRPr="0007339A">
              <w:rPr>
                <w:rFonts w:ascii="Arial" w:eastAsia="Times New Roman" w:hAnsi="Arial" w:cs="Arial"/>
                <w:sz w:val="22"/>
                <w:szCs w:val="22"/>
                <w:lang w:val="hr-HR" w:eastAsia="hr-HR"/>
              </w:rPr>
              <w:t xml:space="preserve"> podloga sa trasom planiran</w:t>
            </w:r>
            <w:r>
              <w:rPr>
                <w:rFonts w:ascii="Arial" w:eastAsia="Times New Roman" w:hAnsi="Arial" w:cs="Arial"/>
                <w:sz w:val="22"/>
                <w:szCs w:val="22"/>
                <w:lang w:val="hr-HR" w:eastAsia="hr-HR"/>
              </w:rPr>
              <w:t>e infrastrukture</w:t>
            </w:r>
          </w:p>
          <w:p w:rsidR="008656E4" w:rsidRDefault="008656E4" w:rsidP="008656E4">
            <w:pPr>
              <w:pStyle w:val="ListParagraph"/>
              <w:numPr>
                <w:ilvl w:val="0"/>
                <w:numId w:val="2"/>
              </w:numPr>
              <w:tabs>
                <w:tab w:val="left" w:pos="6915"/>
              </w:tabs>
              <w:ind w:left="284"/>
              <w:jc w:val="both"/>
              <w:rPr>
                <w:rFonts w:ascii="Arial" w:eastAsia="Times New Roman" w:hAnsi="Arial" w:cs="Arial"/>
                <w:sz w:val="22"/>
                <w:szCs w:val="22"/>
                <w:lang w:val="hr-HR" w:eastAsia="hr-HR"/>
              </w:rPr>
            </w:pPr>
            <w:r>
              <w:rPr>
                <w:rFonts w:ascii="Arial" w:eastAsia="Times New Roman" w:hAnsi="Arial" w:cs="Arial"/>
                <w:sz w:val="22"/>
                <w:szCs w:val="22"/>
                <w:lang w:val="hr-HR" w:eastAsia="hr-HR"/>
              </w:rPr>
              <w:t>Plan namjene površina</w:t>
            </w:r>
          </w:p>
          <w:p w:rsidR="000E4037" w:rsidRPr="00732658" w:rsidRDefault="000E4037" w:rsidP="000E4037">
            <w:pPr>
              <w:tabs>
                <w:tab w:val="left" w:pos="6915"/>
              </w:tabs>
              <w:rPr>
                <w:rFonts w:ascii="Arial" w:hAnsi="Arial" w:cs="Arial"/>
              </w:rPr>
            </w:pPr>
          </w:p>
          <w:p w:rsidR="000E4037" w:rsidRPr="00732658" w:rsidRDefault="000E4037" w:rsidP="000E4037">
            <w:pPr>
              <w:tabs>
                <w:tab w:val="left" w:pos="6915"/>
              </w:tabs>
              <w:rPr>
                <w:rFonts w:ascii="Arial" w:hAnsi="Arial" w:cs="Arial"/>
                <w:i/>
              </w:rPr>
            </w:pPr>
          </w:p>
          <w:p w:rsidR="000E4037" w:rsidRPr="00732658" w:rsidRDefault="000E4037" w:rsidP="000E4037">
            <w:pPr>
              <w:tabs>
                <w:tab w:val="left" w:pos="6915"/>
              </w:tabs>
              <w:jc w:val="both"/>
              <w:rPr>
                <w:rFonts w:ascii="Arial" w:hAnsi="Arial" w:cs="Arial"/>
                <w:i/>
                <w:sz w:val="22"/>
                <w:szCs w:val="22"/>
              </w:rPr>
            </w:pPr>
            <w:r w:rsidRPr="00732658">
              <w:rPr>
                <w:rFonts w:ascii="Arial" w:hAnsi="Arial" w:cs="Arial"/>
                <w:i/>
                <w:sz w:val="22"/>
                <w:szCs w:val="22"/>
              </w:rPr>
              <w:t>-Mišljenja institucija</w:t>
            </w:r>
          </w:p>
          <w:p w:rsidR="000E4037" w:rsidRPr="00147CAD" w:rsidRDefault="000E4037" w:rsidP="000E4037">
            <w:pPr>
              <w:pStyle w:val="ListParagraph"/>
              <w:numPr>
                <w:ilvl w:val="0"/>
                <w:numId w:val="38"/>
              </w:numPr>
              <w:spacing w:after="200" w:line="276" w:lineRule="auto"/>
              <w:ind w:left="459" w:hanging="141"/>
              <w:jc w:val="both"/>
              <w:rPr>
                <w:rFonts w:ascii="Arial" w:hAnsi="Arial" w:cs="Arial"/>
                <w:sz w:val="22"/>
                <w:szCs w:val="22"/>
              </w:rPr>
            </w:pPr>
            <w:r>
              <w:rPr>
                <w:rFonts w:ascii="Arial" w:hAnsi="Arial" w:cs="Arial"/>
                <w:sz w:val="22"/>
                <w:szCs w:val="22"/>
              </w:rPr>
              <w:t xml:space="preserve">Akt broj </w:t>
            </w:r>
            <w:r w:rsidR="00502A03">
              <w:rPr>
                <w:rFonts w:ascii="Arial" w:hAnsi="Arial" w:cs="Arial"/>
                <w:sz w:val="22"/>
                <w:szCs w:val="22"/>
              </w:rPr>
              <w:t>528/1</w:t>
            </w:r>
            <w:r w:rsidRPr="00092907">
              <w:rPr>
                <w:rFonts w:ascii="Arial" w:hAnsi="Arial" w:cs="Arial"/>
                <w:sz w:val="22"/>
                <w:szCs w:val="22"/>
              </w:rPr>
              <w:t xml:space="preserve"> izdat od strane doo </w:t>
            </w:r>
            <w:r w:rsidRPr="00092907">
              <w:rPr>
                <w:rFonts w:ascii="Arial" w:hAnsi="Arial" w:cs="Arial"/>
                <w:b/>
                <w:sz w:val="22"/>
                <w:szCs w:val="22"/>
              </w:rPr>
              <w:t>Vodovod I kanalizacija</w:t>
            </w:r>
            <w:r w:rsidRPr="00092907">
              <w:rPr>
                <w:rFonts w:ascii="Arial" w:hAnsi="Arial" w:cs="Arial"/>
                <w:sz w:val="22"/>
                <w:szCs w:val="22"/>
              </w:rPr>
              <w:t xml:space="preserve"> </w:t>
            </w:r>
            <w:r w:rsidR="00502A03">
              <w:rPr>
                <w:rFonts w:ascii="Arial" w:hAnsi="Arial" w:cs="Arial"/>
                <w:sz w:val="22"/>
                <w:szCs w:val="22"/>
              </w:rPr>
              <w:t>21</w:t>
            </w:r>
            <w:r>
              <w:rPr>
                <w:rFonts w:ascii="Arial" w:hAnsi="Arial" w:cs="Arial"/>
                <w:sz w:val="22"/>
                <w:szCs w:val="22"/>
              </w:rPr>
              <w:t>.0</w:t>
            </w:r>
            <w:r w:rsidR="00502A03">
              <w:rPr>
                <w:rFonts w:ascii="Arial" w:hAnsi="Arial" w:cs="Arial"/>
                <w:sz w:val="22"/>
                <w:szCs w:val="22"/>
              </w:rPr>
              <w:t>4</w:t>
            </w:r>
            <w:r>
              <w:rPr>
                <w:rFonts w:ascii="Arial" w:hAnsi="Arial" w:cs="Arial"/>
                <w:sz w:val="22"/>
                <w:szCs w:val="22"/>
              </w:rPr>
              <w:t>.2022</w:t>
            </w:r>
            <w:r w:rsidRPr="00092907">
              <w:rPr>
                <w:rFonts w:ascii="Arial" w:hAnsi="Arial" w:cs="Arial"/>
                <w:sz w:val="22"/>
                <w:szCs w:val="22"/>
              </w:rPr>
              <w:t>. godine.</w:t>
            </w:r>
          </w:p>
          <w:p w:rsidR="000E4037" w:rsidRDefault="000E4037" w:rsidP="000E4037">
            <w:pPr>
              <w:pStyle w:val="ListParagraph"/>
              <w:numPr>
                <w:ilvl w:val="0"/>
                <w:numId w:val="38"/>
              </w:numPr>
              <w:spacing w:after="200" w:line="276" w:lineRule="auto"/>
              <w:ind w:left="459" w:hanging="141"/>
              <w:jc w:val="both"/>
              <w:rPr>
                <w:rFonts w:ascii="Arial" w:hAnsi="Arial" w:cs="Arial"/>
                <w:sz w:val="22"/>
                <w:szCs w:val="22"/>
              </w:rPr>
            </w:pPr>
            <w:r w:rsidRPr="00092907">
              <w:rPr>
                <w:rFonts w:ascii="Arial" w:hAnsi="Arial" w:cs="Arial"/>
                <w:sz w:val="22"/>
                <w:szCs w:val="22"/>
              </w:rPr>
              <w:t xml:space="preserve">Akt br. </w:t>
            </w:r>
            <w:r w:rsidR="00502A03">
              <w:rPr>
                <w:rFonts w:ascii="Arial" w:hAnsi="Arial" w:cs="Arial"/>
                <w:sz w:val="22"/>
                <w:szCs w:val="22"/>
              </w:rPr>
              <w:t>7021-D/22-216/5</w:t>
            </w:r>
            <w:r w:rsidRPr="00092907">
              <w:rPr>
                <w:rFonts w:ascii="Arial" w:hAnsi="Arial" w:cs="Arial"/>
                <w:sz w:val="22"/>
                <w:szCs w:val="22"/>
              </w:rPr>
              <w:t xml:space="preserve"> od </w:t>
            </w:r>
            <w:r w:rsidR="00502A03">
              <w:rPr>
                <w:rFonts w:ascii="Arial" w:hAnsi="Arial" w:cs="Arial"/>
                <w:sz w:val="22"/>
                <w:szCs w:val="22"/>
              </w:rPr>
              <w:t>2</w:t>
            </w:r>
            <w:r>
              <w:rPr>
                <w:rFonts w:ascii="Arial" w:hAnsi="Arial" w:cs="Arial"/>
                <w:sz w:val="22"/>
                <w:szCs w:val="22"/>
              </w:rPr>
              <w:t xml:space="preserve">7.04.2022.godine izdat od strane </w:t>
            </w:r>
            <w:r>
              <w:rPr>
                <w:rFonts w:ascii="Arial" w:hAnsi="Arial" w:cs="Arial"/>
                <w:b/>
                <w:sz w:val="22"/>
                <w:szCs w:val="22"/>
              </w:rPr>
              <w:t xml:space="preserve">Crnogorskog </w:t>
            </w:r>
            <w:r w:rsidRPr="00092907">
              <w:rPr>
                <w:rFonts w:ascii="Arial" w:hAnsi="Arial" w:cs="Arial"/>
                <w:b/>
                <w:sz w:val="22"/>
                <w:szCs w:val="22"/>
              </w:rPr>
              <w:t>elektro</w:t>
            </w:r>
            <w:r>
              <w:rPr>
                <w:rFonts w:ascii="Arial" w:hAnsi="Arial" w:cs="Arial"/>
                <w:b/>
                <w:sz w:val="22"/>
                <w:szCs w:val="22"/>
              </w:rPr>
              <w:t>prenosnog</w:t>
            </w:r>
            <w:r w:rsidRPr="00092907">
              <w:rPr>
                <w:rFonts w:ascii="Arial" w:hAnsi="Arial" w:cs="Arial"/>
                <w:b/>
                <w:sz w:val="22"/>
                <w:szCs w:val="22"/>
              </w:rPr>
              <w:t xml:space="preserve"> sistema</w:t>
            </w:r>
            <w:r>
              <w:rPr>
                <w:rFonts w:ascii="Arial" w:hAnsi="Arial" w:cs="Arial"/>
                <w:sz w:val="22"/>
                <w:szCs w:val="22"/>
              </w:rPr>
              <w:t xml:space="preserve"> AD</w:t>
            </w:r>
          </w:p>
          <w:p w:rsidR="000E4037" w:rsidRPr="00147CAD" w:rsidRDefault="000E4037" w:rsidP="000E4037">
            <w:pPr>
              <w:pStyle w:val="ListParagraph"/>
              <w:numPr>
                <w:ilvl w:val="0"/>
                <w:numId w:val="38"/>
              </w:numPr>
              <w:spacing w:after="200" w:line="276" w:lineRule="auto"/>
              <w:ind w:left="426" w:hanging="142"/>
              <w:jc w:val="both"/>
              <w:rPr>
                <w:rFonts w:ascii="Arial" w:hAnsi="Arial" w:cs="Arial"/>
                <w:b/>
                <w:sz w:val="22"/>
                <w:szCs w:val="22"/>
              </w:rPr>
            </w:pPr>
            <w:r>
              <w:rPr>
                <w:rFonts w:ascii="Arial" w:hAnsi="Arial" w:cs="Arial"/>
                <w:sz w:val="22"/>
                <w:szCs w:val="22"/>
              </w:rPr>
              <w:t>A</w:t>
            </w:r>
            <w:r w:rsidRPr="00E402AE">
              <w:rPr>
                <w:rFonts w:ascii="Arial" w:hAnsi="Arial" w:cs="Arial"/>
                <w:sz w:val="22"/>
                <w:szCs w:val="22"/>
              </w:rPr>
              <w:t>kt broj 0403-</w:t>
            </w:r>
            <w:r w:rsidR="00502A03">
              <w:rPr>
                <w:rFonts w:ascii="Arial" w:hAnsi="Arial" w:cs="Arial"/>
                <w:sz w:val="22"/>
                <w:szCs w:val="22"/>
              </w:rPr>
              <w:t>2738</w:t>
            </w:r>
            <w:r w:rsidRPr="00E402AE">
              <w:rPr>
                <w:rFonts w:ascii="Arial" w:hAnsi="Arial" w:cs="Arial"/>
                <w:sz w:val="22"/>
                <w:szCs w:val="22"/>
              </w:rPr>
              <w:t xml:space="preserve">/2 od </w:t>
            </w:r>
            <w:r w:rsidR="00502A03">
              <w:rPr>
                <w:rFonts w:ascii="Arial" w:hAnsi="Arial" w:cs="Arial"/>
                <w:sz w:val="22"/>
                <w:szCs w:val="22"/>
              </w:rPr>
              <w:t>19</w:t>
            </w:r>
            <w:r w:rsidRPr="00E402AE">
              <w:rPr>
                <w:rFonts w:ascii="Arial" w:hAnsi="Arial" w:cs="Arial"/>
                <w:sz w:val="22"/>
                <w:szCs w:val="22"/>
              </w:rPr>
              <w:t xml:space="preserve">.04.2022.godine izdat od strane </w:t>
            </w:r>
            <w:r w:rsidRPr="00147CAD">
              <w:rPr>
                <w:rFonts w:ascii="Arial" w:hAnsi="Arial" w:cs="Arial"/>
                <w:b/>
                <w:sz w:val="22"/>
                <w:szCs w:val="22"/>
              </w:rPr>
              <w:t>Agencije za elektronske komunikacije i poštansku djelatnost.</w:t>
            </w:r>
          </w:p>
          <w:p w:rsidR="000E4037" w:rsidRPr="00147CAD" w:rsidRDefault="000E4037" w:rsidP="000E4037">
            <w:pPr>
              <w:pStyle w:val="ListParagraph"/>
              <w:numPr>
                <w:ilvl w:val="0"/>
                <w:numId w:val="38"/>
              </w:numPr>
              <w:spacing w:after="200" w:line="276" w:lineRule="auto"/>
              <w:ind w:left="459" w:hanging="141"/>
              <w:jc w:val="both"/>
              <w:rPr>
                <w:rFonts w:ascii="Arial" w:hAnsi="Arial" w:cs="Arial"/>
                <w:sz w:val="22"/>
                <w:szCs w:val="22"/>
              </w:rPr>
            </w:pPr>
            <w:r w:rsidRPr="00092907">
              <w:rPr>
                <w:rFonts w:ascii="Arial" w:hAnsi="Arial" w:cs="Arial"/>
                <w:sz w:val="22"/>
                <w:szCs w:val="22"/>
              </w:rPr>
              <w:t>Akt br. 30-20-05-</w:t>
            </w:r>
            <w:r w:rsidR="00502A03">
              <w:rPr>
                <w:rFonts w:ascii="Arial" w:hAnsi="Arial" w:cs="Arial"/>
                <w:sz w:val="22"/>
                <w:szCs w:val="22"/>
              </w:rPr>
              <w:t>1622</w:t>
            </w:r>
            <w:r w:rsidRPr="00092907">
              <w:rPr>
                <w:rFonts w:ascii="Arial" w:hAnsi="Arial" w:cs="Arial"/>
                <w:sz w:val="22"/>
                <w:szCs w:val="22"/>
              </w:rPr>
              <w:t xml:space="preserve">/1 od </w:t>
            </w:r>
            <w:r w:rsidR="00502A03">
              <w:rPr>
                <w:rFonts w:ascii="Arial" w:hAnsi="Arial" w:cs="Arial"/>
                <w:sz w:val="22"/>
                <w:szCs w:val="22"/>
              </w:rPr>
              <w:t>04</w:t>
            </w:r>
            <w:r>
              <w:rPr>
                <w:rFonts w:ascii="Arial" w:hAnsi="Arial" w:cs="Arial"/>
                <w:sz w:val="22"/>
                <w:szCs w:val="22"/>
              </w:rPr>
              <w:t>.0</w:t>
            </w:r>
            <w:r w:rsidR="00502A03">
              <w:rPr>
                <w:rFonts w:ascii="Arial" w:hAnsi="Arial" w:cs="Arial"/>
                <w:sz w:val="22"/>
                <w:szCs w:val="22"/>
              </w:rPr>
              <w:t>5</w:t>
            </w:r>
            <w:r>
              <w:rPr>
                <w:rFonts w:ascii="Arial" w:hAnsi="Arial" w:cs="Arial"/>
                <w:sz w:val="22"/>
                <w:szCs w:val="22"/>
              </w:rPr>
              <w:t xml:space="preserve">.2022.godine izdat </w:t>
            </w:r>
            <w:r w:rsidRPr="00092907">
              <w:rPr>
                <w:rFonts w:ascii="Arial" w:hAnsi="Arial" w:cs="Arial"/>
                <w:sz w:val="22"/>
                <w:szCs w:val="22"/>
              </w:rPr>
              <w:t xml:space="preserve">od strane </w:t>
            </w:r>
            <w:r>
              <w:rPr>
                <w:rFonts w:ascii="Arial" w:hAnsi="Arial" w:cs="Arial"/>
                <w:b/>
                <w:sz w:val="22"/>
                <w:szCs w:val="22"/>
              </w:rPr>
              <w:t xml:space="preserve">Crnogorskog </w:t>
            </w:r>
            <w:r w:rsidRPr="00092907">
              <w:rPr>
                <w:rFonts w:ascii="Arial" w:hAnsi="Arial" w:cs="Arial"/>
                <w:b/>
                <w:sz w:val="22"/>
                <w:szCs w:val="22"/>
              </w:rPr>
              <w:t>elektrodistributivnog sistema</w:t>
            </w:r>
            <w:r w:rsidRPr="00092907">
              <w:rPr>
                <w:rFonts w:ascii="Arial" w:hAnsi="Arial" w:cs="Arial"/>
                <w:sz w:val="22"/>
                <w:szCs w:val="22"/>
              </w:rPr>
              <w:t>, Sektora za pristup mreži Region 5.</w:t>
            </w:r>
          </w:p>
          <w:p w:rsidR="000E4037" w:rsidRPr="00147CAD" w:rsidRDefault="000E4037" w:rsidP="000E4037">
            <w:pPr>
              <w:pStyle w:val="ListParagraph"/>
              <w:numPr>
                <w:ilvl w:val="0"/>
                <w:numId w:val="38"/>
              </w:numPr>
              <w:spacing w:after="200" w:line="276" w:lineRule="auto"/>
              <w:ind w:left="459" w:hanging="141"/>
              <w:jc w:val="both"/>
              <w:rPr>
                <w:rFonts w:ascii="Arial" w:hAnsi="Arial" w:cs="Arial"/>
                <w:b/>
                <w:sz w:val="22"/>
                <w:szCs w:val="22"/>
              </w:rPr>
            </w:pPr>
            <w:r>
              <w:rPr>
                <w:rFonts w:ascii="Arial" w:hAnsi="Arial" w:cs="Arial"/>
                <w:sz w:val="22"/>
                <w:szCs w:val="22"/>
                <w:lang w:val="sr-Latn-CS"/>
              </w:rPr>
              <w:t>Akt broj 10-341/22-</w:t>
            </w:r>
            <w:r w:rsidR="00502A03">
              <w:rPr>
                <w:rFonts w:ascii="Arial" w:hAnsi="Arial" w:cs="Arial"/>
                <w:sz w:val="22"/>
                <w:szCs w:val="22"/>
                <w:lang w:val="sr-Latn-CS"/>
              </w:rPr>
              <w:t>114</w:t>
            </w:r>
            <w:r>
              <w:rPr>
                <w:rFonts w:ascii="Arial" w:hAnsi="Arial" w:cs="Arial"/>
                <w:sz w:val="22"/>
                <w:szCs w:val="22"/>
                <w:lang w:val="sr-Latn-CS"/>
              </w:rPr>
              <w:t xml:space="preserve">/1 od </w:t>
            </w:r>
            <w:r w:rsidR="00502A03">
              <w:rPr>
                <w:rFonts w:ascii="Arial" w:hAnsi="Arial" w:cs="Arial"/>
                <w:sz w:val="22"/>
                <w:szCs w:val="22"/>
                <w:lang w:val="sr-Latn-CS"/>
              </w:rPr>
              <w:t>21</w:t>
            </w:r>
            <w:r>
              <w:rPr>
                <w:rFonts w:ascii="Arial" w:hAnsi="Arial" w:cs="Arial"/>
                <w:sz w:val="22"/>
                <w:szCs w:val="22"/>
                <w:lang w:val="sr-Latn-CS"/>
              </w:rPr>
              <w:t xml:space="preserve">.04.2022.godine izdat od strane </w:t>
            </w:r>
            <w:r w:rsidRPr="00147CAD">
              <w:rPr>
                <w:rFonts w:ascii="Arial" w:hAnsi="Arial" w:cs="Arial"/>
                <w:b/>
                <w:sz w:val="22"/>
                <w:szCs w:val="22"/>
                <w:lang w:val="sr-Latn-CS"/>
              </w:rPr>
              <w:t>Sekretarijata za privredu.</w:t>
            </w:r>
          </w:p>
          <w:p w:rsidR="000E4037" w:rsidRPr="00147CAD" w:rsidRDefault="000E4037" w:rsidP="000E4037">
            <w:pPr>
              <w:pStyle w:val="ListParagraph"/>
              <w:tabs>
                <w:tab w:val="left" w:pos="6915"/>
              </w:tabs>
              <w:ind w:left="177"/>
              <w:rPr>
                <w:rFonts w:ascii="Arial" w:hAnsi="Arial" w:cs="Arial"/>
                <w:b/>
                <w:i/>
                <w:sz w:val="22"/>
                <w:szCs w:val="22"/>
              </w:rPr>
            </w:pPr>
          </w:p>
          <w:p w:rsidR="000E4037" w:rsidRPr="00FF05F8" w:rsidRDefault="000E4037" w:rsidP="000E4037">
            <w:pPr>
              <w:rPr>
                <w:rFonts w:ascii="Arial" w:hAnsi="Arial" w:cs="Arial"/>
                <w:sz w:val="22"/>
                <w:szCs w:val="22"/>
              </w:rPr>
            </w:pPr>
          </w:p>
        </w:tc>
        <w:tc>
          <w:tcPr>
            <w:tcW w:w="4924" w:type="dxa"/>
            <w:gridSpan w:val="3"/>
            <w:noWrap/>
          </w:tcPr>
          <w:p w:rsidR="000E4037" w:rsidRPr="00FF05F8" w:rsidRDefault="000E4037" w:rsidP="000E4037">
            <w:pPr>
              <w:pStyle w:val="ListParagraph"/>
              <w:tabs>
                <w:tab w:val="left" w:pos="6915"/>
              </w:tabs>
              <w:ind w:left="317"/>
              <w:jc w:val="both"/>
              <w:rPr>
                <w:rFonts w:ascii="Arial" w:hAnsi="Arial" w:cs="Arial"/>
                <w:sz w:val="22"/>
                <w:szCs w:val="22"/>
              </w:rPr>
            </w:pPr>
          </w:p>
        </w:tc>
      </w:tr>
    </w:tbl>
    <w:p w:rsidR="001A189D" w:rsidRPr="007F5366" w:rsidRDefault="001A189D" w:rsidP="0021404F">
      <w:pPr>
        <w:spacing w:after="0" w:line="240" w:lineRule="auto"/>
        <w:rPr>
          <w:rFonts w:ascii="Arial" w:hAnsi="Arial" w:cs="Arial"/>
        </w:rPr>
      </w:pPr>
    </w:p>
    <w:sectPr w:rsidR="001A189D" w:rsidRPr="007F5366" w:rsidSect="00824714">
      <w:footerReference w:type="default" r:id="rId13"/>
      <w:pgSz w:w="11907" w:h="16839" w:code="9"/>
      <w:pgMar w:top="709" w:right="1701" w:bottom="284"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939" w:rsidRDefault="003F0939" w:rsidP="0016116A">
      <w:pPr>
        <w:spacing w:after="0" w:line="240" w:lineRule="auto"/>
      </w:pPr>
      <w:r>
        <w:separator/>
      </w:r>
    </w:p>
  </w:endnote>
  <w:endnote w:type="continuationSeparator" w:id="0">
    <w:p w:rsidR="003F0939" w:rsidRDefault="003F0939" w:rsidP="00161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704316"/>
      <w:docPartObj>
        <w:docPartGallery w:val="Page Numbers (Bottom of Page)"/>
        <w:docPartUnique/>
      </w:docPartObj>
    </w:sdtPr>
    <w:sdtEndPr>
      <w:rPr>
        <w:noProof/>
      </w:rPr>
    </w:sdtEndPr>
    <w:sdtContent>
      <w:p w:rsidR="000C6513" w:rsidRDefault="000C6513">
        <w:pPr>
          <w:pStyle w:val="Footer"/>
          <w:jc w:val="right"/>
        </w:pPr>
        <w:r>
          <w:fldChar w:fldCharType="begin"/>
        </w:r>
        <w:r>
          <w:instrText xml:space="preserve"> PAGE   \* MERGEFORMAT </w:instrText>
        </w:r>
        <w:r>
          <w:fldChar w:fldCharType="separate"/>
        </w:r>
        <w:r w:rsidR="00502A03">
          <w:rPr>
            <w:noProof/>
          </w:rPr>
          <w:t>13</w:t>
        </w:r>
        <w:r>
          <w:rPr>
            <w:noProof/>
          </w:rPr>
          <w:fldChar w:fldCharType="end"/>
        </w:r>
      </w:p>
    </w:sdtContent>
  </w:sdt>
  <w:p w:rsidR="000C6513" w:rsidRDefault="000C651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939" w:rsidRDefault="003F0939" w:rsidP="0016116A">
      <w:pPr>
        <w:spacing w:after="0" w:line="240" w:lineRule="auto"/>
      </w:pPr>
      <w:r>
        <w:separator/>
      </w:r>
    </w:p>
  </w:footnote>
  <w:footnote w:type="continuationSeparator" w:id="0">
    <w:p w:rsidR="003F0939" w:rsidRDefault="003F0939" w:rsidP="001611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102E2AB0"/>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0000005"/>
    <w:multiLevelType w:val="singleLevel"/>
    <w:tmpl w:val="00000005"/>
    <w:name w:val="WW8Num5"/>
    <w:lvl w:ilvl="0">
      <w:numFmt w:val="bullet"/>
      <w:lvlText w:val="-"/>
      <w:lvlJc w:val="left"/>
      <w:pPr>
        <w:tabs>
          <w:tab w:val="num" w:pos="786"/>
        </w:tabs>
        <w:ind w:left="786" w:hanging="360"/>
      </w:pPr>
      <w:rPr>
        <w:rFonts w:ascii="Times New Roman" w:hAnsi="Times New Roman" w:cs="Times New Roman"/>
      </w:rPr>
    </w:lvl>
  </w:abstractNum>
  <w:abstractNum w:abstractNumId="2" w15:restartNumberingAfterBreak="0">
    <w:nsid w:val="004164A8"/>
    <w:multiLevelType w:val="hybridMultilevel"/>
    <w:tmpl w:val="9A0C30BC"/>
    <w:lvl w:ilvl="0" w:tplc="2C1A0005">
      <w:start w:val="1"/>
      <w:numFmt w:val="bullet"/>
      <w:lvlText w:val=""/>
      <w:lvlJc w:val="left"/>
      <w:pPr>
        <w:ind w:left="360" w:hanging="360"/>
      </w:pPr>
      <w:rPr>
        <w:rFonts w:ascii="Wingdings" w:hAnsi="Wingdings" w:hint="default"/>
      </w:rPr>
    </w:lvl>
    <w:lvl w:ilvl="1" w:tplc="2C1A0003" w:tentative="1">
      <w:start w:val="1"/>
      <w:numFmt w:val="bullet"/>
      <w:lvlText w:val="o"/>
      <w:lvlJc w:val="left"/>
      <w:pPr>
        <w:ind w:left="1800" w:hanging="360"/>
      </w:pPr>
      <w:rPr>
        <w:rFonts w:ascii="Courier New" w:hAnsi="Courier New" w:cs="Courier New" w:hint="default"/>
      </w:rPr>
    </w:lvl>
    <w:lvl w:ilvl="2" w:tplc="2C1A0005" w:tentative="1">
      <w:start w:val="1"/>
      <w:numFmt w:val="bullet"/>
      <w:lvlText w:val=""/>
      <w:lvlJc w:val="left"/>
      <w:pPr>
        <w:ind w:left="2520" w:hanging="360"/>
      </w:pPr>
      <w:rPr>
        <w:rFonts w:ascii="Wingdings" w:hAnsi="Wingdings" w:hint="default"/>
      </w:rPr>
    </w:lvl>
    <w:lvl w:ilvl="3" w:tplc="2C1A0001" w:tentative="1">
      <w:start w:val="1"/>
      <w:numFmt w:val="bullet"/>
      <w:lvlText w:val=""/>
      <w:lvlJc w:val="left"/>
      <w:pPr>
        <w:ind w:left="3240" w:hanging="360"/>
      </w:pPr>
      <w:rPr>
        <w:rFonts w:ascii="Symbol" w:hAnsi="Symbol" w:hint="default"/>
      </w:rPr>
    </w:lvl>
    <w:lvl w:ilvl="4" w:tplc="2C1A0003" w:tentative="1">
      <w:start w:val="1"/>
      <w:numFmt w:val="bullet"/>
      <w:lvlText w:val="o"/>
      <w:lvlJc w:val="left"/>
      <w:pPr>
        <w:ind w:left="3960" w:hanging="360"/>
      </w:pPr>
      <w:rPr>
        <w:rFonts w:ascii="Courier New" w:hAnsi="Courier New" w:cs="Courier New" w:hint="default"/>
      </w:rPr>
    </w:lvl>
    <w:lvl w:ilvl="5" w:tplc="2C1A0005" w:tentative="1">
      <w:start w:val="1"/>
      <w:numFmt w:val="bullet"/>
      <w:lvlText w:val=""/>
      <w:lvlJc w:val="left"/>
      <w:pPr>
        <w:ind w:left="4680" w:hanging="360"/>
      </w:pPr>
      <w:rPr>
        <w:rFonts w:ascii="Wingdings" w:hAnsi="Wingdings" w:hint="default"/>
      </w:rPr>
    </w:lvl>
    <w:lvl w:ilvl="6" w:tplc="2C1A0001" w:tentative="1">
      <w:start w:val="1"/>
      <w:numFmt w:val="bullet"/>
      <w:lvlText w:val=""/>
      <w:lvlJc w:val="left"/>
      <w:pPr>
        <w:ind w:left="5400" w:hanging="360"/>
      </w:pPr>
      <w:rPr>
        <w:rFonts w:ascii="Symbol" w:hAnsi="Symbol" w:hint="default"/>
      </w:rPr>
    </w:lvl>
    <w:lvl w:ilvl="7" w:tplc="2C1A0003" w:tentative="1">
      <w:start w:val="1"/>
      <w:numFmt w:val="bullet"/>
      <w:lvlText w:val="o"/>
      <w:lvlJc w:val="left"/>
      <w:pPr>
        <w:ind w:left="6120" w:hanging="360"/>
      </w:pPr>
      <w:rPr>
        <w:rFonts w:ascii="Courier New" w:hAnsi="Courier New" w:cs="Courier New" w:hint="default"/>
      </w:rPr>
    </w:lvl>
    <w:lvl w:ilvl="8" w:tplc="2C1A0005" w:tentative="1">
      <w:start w:val="1"/>
      <w:numFmt w:val="bullet"/>
      <w:lvlText w:val=""/>
      <w:lvlJc w:val="left"/>
      <w:pPr>
        <w:ind w:left="6840" w:hanging="360"/>
      </w:pPr>
      <w:rPr>
        <w:rFonts w:ascii="Wingdings" w:hAnsi="Wingdings" w:hint="default"/>
      </w:rPr>
    </w:lvl>
  </w:abstractNum>
  <w:abstractNum w:abstractNumId="3" w15:restartNumberingAfterBreak="0">
    <w:nsid w:val="0296611A"/>
    <w:multiLevelType w:val="hybridMultilevel"/>
    <w:tmpl w:val="6750FA9E"/>
    <w:lvl w:ilvl="0" w:tplc="C666DAB6">
      <w:start w:val="1"/>
      <w:numFmt w:val="bullet"/>
      <w:lvlText w:val="-"/>
      <w:lvlJc w:val="left"/>
      <w:pPr>
        <w:tabs>
          <w:tab w:val="num" w:pos="340"/>
        </w:tabs>
        <w:ind w:left="340" w:hanging="340"/>
      </w:pPr>
      <w:rPr>
        <w:rFonts w:ascii="Times New Roman" w:eastAsia="Times New Roman" w:hAnsi="Times New Roman" w:cs="Times New Roman" w:hint="default"/>
      </w:rPr>
    </w:lvl>
    <w:lvl w:ilvl="1" w:tplc="5EF69DCA">
      <w:start w:val="1"/>
      <w:numFmt w:val="bullet"/>
      <w:lvlText w:val="-"/>
      <w:lvlJc w:val="left"/>
      <w:pPr>
        <w:tabs>
          <w:tab w:val="num" w:pos="1270"/>
        </w:tabs>
        <w:ind w:left="1270" w:hanging="190"/>
      </w:pPr>
      <w:rPr>
        <w:rFonts w:ascii="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307E3C"/>
    <w:multiLevelType w:val="hybridMultilevel"/>
    <w:tmpl w:val="2CF64D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45728CA"/>
    <w:multiLevelType w:val="hybridMultilevel"/>
    <w:tmpl w:val="0DC0D232"/>
    <w:lvl w:ilvl="0" w:tplc="B948B890">
      <w:start w:val="1"/>
      <w:numFmt w:val="bullet"/>
      <w:lvlText w:val=""/>
      <w:lvlJc w:val="left"/>
      <w:pPr>
        <w:tabs>
          <w:tab w:val="num" w:pos="360"/>
        </w:tabs>
        <w:ind w:left="360" w:hanging="360"/>
      </w:pPr>
      <w:rPr>
        <w:rFonts w:ascii="Wingdings" w:hAnsi="Wingdings" w:hint="default"/>
        <w:color w:val="333399"/>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6" w15:restartNumberingAfterBreak="0">
    <w:nsid w:val="05D57203"/>
    <w:multiLevelType w:val="hybridMultilevel"/>
    <w:tmpl w:val="AD60CF36"/>
    <w:lvl w:ilvl="0" w:tplc="04090005">
      <w:start w:val="1"/>
      <w:numFmt w:val="bullet"/>
      <w:lvlText w:val=""/>
      <w:lvlJc w:val="left"/>
      <w:pPr>
        <w:ind w:left="1440" w:hanging="360"/>
      </w:pPr>
      <w:rPr>
        <w:rFonts w:ascii="Wingdings" w:hAnsi="Wingdings"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7" w15:restartNumberingAfterBreak="0">
    <w:nsid w:val="08751E03"/>
    <w:multiLevelType w:val="hybridMultilevel"/>
    <w:tmpl w:val="FE3CDCF0"/>
    <w:lvl w:ilvl="0" w:tplc="A0B83706">
      <w:start w:val="1"/>
      <w:numFmt w:val="bullet"/>
      <w:lvlText w:val=""/>
      <w:lvlJc w:val="left"/>
      <w:pPr>
        <w:tabs>
          <w:tab w:val="num" w:pos="360"/>
        </w:tabs>
        <w:ind w:left="360" w:hanging="360"/>
      </w:pPr>
      <w:rPr>
        <w:rFonts w:ascii="Wingdings" w:hAnsi="Wingdings" w:hint="default"/>
        <w:sz w:val="24"/>
        <w:szCs w:val="24"/>
      </w:rPr>
    </w:lvl>
    <w:lvl w:ilvl="1" w:tplc="081A0003" w:tentative="1">
      <w:start w:val="1"/>
      <w:numFmt w:val="bullet"/>
      <w:lvlText w:val="o"/>
      <w:lvlJc w:val="left"/>
      <w:pPr>
        <w:tabs>
          <w:tab w:val="num" w:pos="1080"/>
        </w:tabs>
        <w:ind w:left="1080" w:hanging="360"/>
      </w:pPr>
      <w:rPr>
        <w:rFonts w:ascii="Courier New" w:hAnsi="Courier New" w:cs="Courier New" w:hint="default"/>
      </w:rPr>
    </w:lvl>
    <w:lvl w:ilvl="2" w:tplc="081A0005" w:tentative="1">
      <w:start w:val="1"/>
      <w:numFmt w:val="bullet"/>
      <w:lvlText w:val=""/>
      <w:lvlJc w:val="left"/>
      <w:pPr>
        <w:tabs>
          <w:tab w:val="num" w:pos="1800"/>
        </w:tabs>
        <w:ind w:left="1800" w:hanging="360"/>
      </w:pPr>
      <w:rPr>
        <w:rFonts w:ascii="Wingdings" w:hAnsi="Wingdings" w:hint="default"/>
      </w:rPr>
    </w:lvl>
    <w:lvl w:ilvl="3" w:tplc="081A0001" w:tentative="1">
      <w:start w:val="1"/>
      <w:numFmt w:val="bullet"/>
      <w:lvlText w:val=""/>
      <w:lvlJc w:val="left"/>
      <w:pPr>
        <w:tabs>
          <w:tab w:val="num" w:pos="2520"/>
        </w:tabs>
        <w:ind w:left="2520" w:hanging="360"/>
      </w:pPr>
      <w:rPr>
        <w:rFonts w:ascii="Symbol" w:hAnsi="Symbol" w:hint="default"/>
      </w:rPr>
    </w:lvl>
    <w:lvl w:ilvl="4" w:tplc="081A0003" w:tentative="1">
      <w:start w:val="1"/>
      <w:numFmt w:val="bullet"/>
      <w:lvlText w:val="o"/>
      <w:lvlJc w:val="left"/>
      <w:pPr>
        <w:tabs>
          <w:tab w:val="num" w:pos="3240"/>
        </w:tabs>
        <w:ind w:left="3240" w:hanging="360"/>
      </w:pPr>
      <w:rPr>
        <w:rFonts w:ascii="Courier New" w:hAnsi="Courier New" w:cs="Courier New" w:hint="default"/>
      </w:rPr>
    </w:lvl>
    <w:lvl w:ilvl="5" w:tplc="081A0005" w:tentative="1">
      <w:start w:val="1"/>
      <w:numFmt w:val="bullet"/>
      <w:lvlText w:val=""/>
      <w:lvlJc w:val="left"/>
      <w:pPr>
        <w:tabs>
          <w:tab w:val="num" w:pos="3960"/>
        </w:tabs>
        <w:ind w:left="3960" w:hanging="360"/>
      </w:pPr>
      <w:rPr>
        <w:rFonts w:ascii="Wingdings" w:hAnsi="Wingdings" w:hint="default"/>
      </w:rPr>
    </w:lvl>
    <w:lvl w:ilvl="6" w:tplc="081A0001" w:tentative="1">
      <w:start w:val="1"/>
      <w:numFmt w:val="bullet"/>
      <w:lvlText w:val=""/>
      <w:lvlJc w:val="left"/>
      <w:pPr>
        <w:tabs>
          <w:tab w:val="num" w:pos="4680"/>
        </w:tabs>
        <w:ind w:left="4680" w:hanging="360"/>
      </w:pPr>
      <w:rPr>
        <w:rFonts w:ascii="Symbol" w:hAnsi="Symbol" w:hint="default"/>
      </w:rPr>
    </w:lvl>
    <w:lvl w:ilvl="7" w:tplc="081A0003" w:tentative="1">
      <w:start w:val="1"/>
      <w:numFmt w:val="bullet"/>
      <w:lvlText w:val="o"/>
      <w:lvlJc w:val="left"/>
      <w:pPr>
        <w:tabs>
          <w:tab w:val="num" w:pos="5400"/>
        </w:tabs>
        <w:ind w:left="5400" w:hanging="360"/>
      </w:pPr>
      <w:rPr>
        <w:rFonts w:ascii="Courier New" w:hAnsi="Courier New" w:cs="Courier New" w:hint="default"/>
      </w:rPr>
    </w:lvl>
    <w:lvl w:ilvl="8" w:tplc="081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ABE4C2A"/>
    <w:multiLevelType w:val="hybridMultilevel"/>
    <w:tmpl w:val="4582E0FA"/>
    <w:lvl w:ilvl="0" w:tplc="A0B83706">
      <w:start w:val="1"/>
      <w:numFmt w:val="bullet"/>
      <w:lvlText w:val=""/>
      <w:lvlJc w:val="left"/>
      <w:pPr>
        <w:tabs>
          <w:tab w:val="num" w:pos="360"/>
        </w:tabs>
        <w:ind w:left="360" w:hanging="360"/>
      </w:pPr>
      <w:rPr>
        <w:rFonts w:ascii="Wingdings" w:hAnsi="Wingdings" w:hint="default"/>
        <w:sz w:val="24"/>
        <w:szCs w:val="24"/>
      </w:rPr>
    </w:lvl>
    <w:lvl w:ilvl="1" w:tplc="081A0003" w:tentative="1">
      <w:start w:val="1"/>
      <w:numFmt w:val="bullet"/>
      <w:lvlText w:val="o"/>
      <w:lvlJc w:val="left"/>
      <w:pPr>
        <w:tabs>
          <w:tab w:val="num" w:pos="1080"/>
        </w:tabs>
        <w:ind w:left="1080" w:hanging="360"/>
      </w:pPr>
      <w:rPr>
        <w:rFonts w:ascii="Courier New" w:hAnsi="Courier New" w:cs="Courier New" w:hint="default"/>
      </w:rPr>
    </w:lvl>
    <w:lvl w:ilvl="2" w:tplc="081A0005" w:tentative="1">
      <w:start w:val="1"/>
      <w:numFmt w:val="bullet"/>
      <w:lvlText w:val=""/>
      <w:lvlJc w:val="left"/>
      <w:pPr>
        <w:tabs>
          <w:tab w:val="num" w:pos="1800"/>
        </w:tabs>
        <w:ind w:left="1800" w:hanging="360"/>
      </w:pPr>
      <w:rPr>
        <w:rFonts w:ascii="Wingdings" w:hAnsi="Wingdings" w:hint="default"/>
      </w:rPr>
    </w:lvl>
    <w:lvl w:ilvl="3" w:tplc="081A0001" w:tentative="1">
      <w:start w:val="1"/>
      <w:numFmt w:val="bullet"/>
      <w:lvlText w:val=""/>
      <w:lvlJc w:val="left"/>
      <w:pPr>
        <w:tabs>
          <w:tab w:val="num" w:pos="2520"/>
        </w:tabs>
        <w:ind w:left="2520" w:hanging="360"/>
      </w:pPr>
      <w:rPr>
        <w:rFonts w:ascii="Symbol" w:hAnsi="Symbol" w:hint="default"/>
      </w:rPr>
    </w:lvl>
    <w:lvl w:ilvl="4" w:tplc="081A0003" w:tentative="1">
      <w:start w:val="1"/>
      <w:numFmt w:val="bullet"/>
      <w:lvlText w:val="o"/>
      <w:lvlJc w:val="left"/>
      <w:pPr>
        <w:tabs>
          <w:tab w:val="num" w:pos="3240"/>
        </w:tabs>
        <w:ind w:left="3240" w:hanging="360"/>
      </w:pPr>
      <w:rPr>
        <w:rFonts w:ascii="Courier New" w:hAnsi="Courier New" w:cs="Courier New" w:hint="default"/>
      </w:rPr>
    </w:lvl>
    <w:lvl w:ilvl="5" w:tplc="081A0005" w:tentative="1">
      <w:start w:val="1"/>
      <w:numFmt w:val="bullet"/>
      <w:lvlText w:val=""/>
      <w:lvlJc w:val="left"/>
      <w:pPr>
        <w:tabs>
          <w:tab w:val="num" w:pos="3960"/>
        </w:tabs>
        <w:ind w:left="3960" w:hanging="360"/>
      </w:pPr>
      <w:rPr>
        <w:rFonts w:ascii="Wingdings" w:hAnsi="Wingdings" w:hint="default"/>
      </w:rPr>
    </w:lvl>
    <w:lvl w:ilvl="6" w:tplc="081A0001" w:tentative="1">
      <w:start w:val="1"/>
      <w:numFmt w:val="bullet"/>
      <w:lvlText w:val=""/>
      <w:lvlJc w:val="left"/>
      <w:pPr>
        <w:tabs>
          <w:tab w:val="num" w:pos="4680"/>
        </w:tabs>
        <w:ind w:left="4680" w:hanging="360"/>
      </w:pPr>
      <w:rPr>
        <w:rFonts w:ascii="Symbol" w:hAnsi="Symbol" w:hint="default"/>
      </w:rPr>
    </w:lvl>
    <w:lvl w:ilvl="7" w:tplc="081A0003" w:tentative="1">
      <w:start w:val="1"/>
      <w:numFmt w:val="bullet"/>
      <w:lvlText w:val="o"/>
      <w:lvlJc w:val="left"/>
      <w:pPr>
        <w:tabs>
          <w:tab w:val="num" w:pos="5400"/>
        </w:tabs>
        <w:ind w:left="5400" w:hanging="360"/>
      </w:pPr>
      <w:rPr>
        <w:rFonts w:ascii="Courier New" w:hAnsi="Courier New" w:cs="Courier New" w:hint="default"/>
      </w:rPr>
    </w:lvl>
    <w:lvl w:ilvl="8" w:tplc="081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0CE13E42"/>
    <w:multiLevelType w:val="hybridMultilevel"/>
    <w:tmpl w:val="4B0C6E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FF58F2"/>
    <w:multiLevelType w:val="multilevel"/>
    <w:tmpl w:val="E9E8129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1" w15:restartNumberingAfterBreak="0">
    <w:nsid w:val="1116341D"/>
    <w:multiLevelType w:val="hybridMultilevel"/>
    <w:tmpl w:val="0F023214"/>
    <w:name w:val="WW8Num3"/>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2335E19"/>
    <w:multiLevelType w:val="hybridMultilevel"/>
    <w:tmpl w:val="67A0056C"/>
    <w:lvl w:ilvl="0" w:tplc="A0B83706">
      <w:start w:val="1"/>
      <w:numFmt w:val="bullet"/>
      <w:lvlText w:val=""/>
      <w:lvlJc w:val="left"/>
      <w:pPr>
        <w:ind w:left="360" w:hanging="360"/>
      </w:pPr>
      <w:rPr>
        <w:rFonts w:ascii="Wingdings" w:hAnsi="Wingdings"/>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7AB3BAB"/>
    <w:multiLevelType w:val="hybridMultilevel"/>
    <w:tmpl w:val="926CA488"/>
    <w:name w:val="WW8Num4222222"/>
    <w:lvl w:ilvl="0" w:tplc="8992249E">
      <w:start w:val="1"/>
      <w:numFmt w:val="bullet"/>
      <w:lvlText w:val="-"/>
      <w:lvlJc w:val="left"/>
      <w:pPr>
        <w:tabs>
          <w:tab w:val="num" w:pos="720"/>
        </w:tabs>
        <w:ind w:left="720" w:hanging="360"/>
      </w:pPr>
      <w:rPr>
        <w:rFonts w:ascii="Arial" w:eastAsia="Times New Roman" w:hAnsi="Arial" w:hint="default"/>
        <w:b w:val="0"/>
      </w:rPr>
    </w:lvl>
    <w:lvl w:ilvl="1" w:tplc="04090003">
      <w:start w:val="1"/>
      <w:numFmt w:val="decimal"/>
      <w:lvlText w:val="%2."/>
      <w:lvlJc w:val="left"/>
      <w:pPr>
        <w:tabs>
          <w:tab w:val="num" w:pos="1440"/>
        </w:tabs>
        <w:ind w:left="1440" w:hanging="360"/>
      </w:pPr>
      <w:rPr>
        <w:rFonts w:hint="default"/>
      </w:r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14" w15:restartNumberingAfterBreak="0">
    <w:nsid w:val="1928512F"/>
    <w:multiLevelType w:val="hybridMultilevel"/>
    <w:tmpl w:val="2F52C77A"/>
    <w:lvl w:ilvl="0" w:tplc="2EEC7B92">
      <w:start w:val="1"/>
      <w:numFmt w:val="lowerRoman"/>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1C94227D"/>
    <w:multiLevelType w:val="hybridMultilevel"/>
    <w:tmpl w:val="BD9471D6"/>
    <w:lvl w:ilvl="0" w:tplc="C666DAB6">
      <w:start w:val="1"/>
      <w:numFmt w:val="bullet"/>
      <w:lvlText w:val="-"/>
      <w:lvlJc w:val="left"/>
      <w:pPr>
        <w:tabs>
          <w:tab w:val="num" w:pos="340"/>
        </w:tabs>
        <w:ind w:left="340" w:hanging="34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457426"/>
    <w:multiLevelType w:val="hybridMultilevel"/>
    <w:tmpl w:val="6FC09ED4"/>
    <w:lvl w:ilvl="0" w:tplc="FA4CF930">
      <w:start w:val="1"/>
      <w:numFmt w:val="bullet"/>
      <w:lvlText w:val="-"/>
      <w:lvlJc w:val="left"/>
      <w:pPr>
        <w:tabs>
          <w:tab w:val="num" w:pos="1440"/>
        </w:tabs>
        <w:ind w:left="1440" w:hanging="360"/>
      </w:pPr>
      <w:rPr>
        <w:rFonts w:ascii="Times New Roman" w:eastAsia="Times New Roman" w:hAnsi="Times New Roman" w:cs="Times New Roman" w:hint="default"/>
      </w:rPr>
    </w:lvl>
    <w:lvl w:ilvl="1" w:tplc="04240019" w:tentative="1">
      <w:start w:val="1"/>
      <w:numFmt w:val="lowerLetter"/>
      <w:lvlText w:val="%2."/>
      <w:lvlJc w:val="left"/>
      <w:pPr>
        <w:tabs>
          <w:tab w:val="num" w:pos="2160"/>
        </w:tabs>
        <w:ind w:left="2160" w:hanging="360"/>
      </w:pPr>
    </w:lvl>
    <w:lvl w:ilvl="2" w:tplc="0424001B" w:tentative="1">
      <w:start w:val="1"/>
      <w:numFmt w:val="lowerRoman"/>
      <w:lvlText w:val="%3."/>
      <w:lvlJc w:val="right"/>
      <w:pPr>
        <w:tabs>
          <w:tab w:val="num" w:pos="2880"/>
        </w:tabs>
        <w:ind w:left="2880" w:hanging="180"/>
      </w:pPr>
    </w:lvl>
    <w:lvl w:ilvl="3" w:tplc="0424000F" w:tentative="1">
      <w:start w:val="1"/>
      <w:numFmt w:val="decimal"/>
      <w:lvlText w:val="%4."/>
      <w:lvlJc w:val="left"/>
      <w:pPr>
        <w:tabs>
          <w:tab w:val="num" w:pos="3600"/>
        </w:tabs>
        <w:ind w:left="3600" w:hanging="360"/>
      </w:pPr>
    </w:lvl>
    <w:lvl w:ilvl="4" w:tplc="04240019" w:tentative="1">
      <w:start w:val="1"/>
      <w:numFmt w:val="lowerLetter"/>
      <w:lvlText w:val="%5."/>
      <w:lvlJc w:val="left"/>
      <w:pPr>
        <w:tabs>
          <w:tab w:val="num" w:pos="4320"/>
        </w:tabs>
        <w:ind w:left="4320" w:hanging="360"/>
      </w:pPr>
    </w:lvl>
    <w:lvl w:ilvl="5" w:tplc="0424001B" w:tentative="1">
      <w:start w:val="1"/>
      <w:numFmt w:val="lowerRoman"/>
      <w:lvlText w:val="%6."/>
      <w:lvlJc w:val="right"/>
      <w:pPr>
        <w:tabs>
          <w:tab w:val="num" w:pos="5040"/>
        </w:tabs>
        <w:ind w:left="5040" w:hanging="180"/>
      </w:pPr>
    </w:lvl>
    <w:lvl w:ilvl="6" w:tplc="0424000F" w:tentative="1">
      <w:start w:val="1"/>
      <w:numFmt w:val="decimal"/>
      <w:lvlText w:val="%7."/>
      <w:lvlJc w:val="left"/>
      <w:pPr>
        <w:tabs>
          <w:tab w:val="num" w:pos="5760"/>
        </w:tabs>
        <w:ind w:left="5760" w:hanging="360"/>
      </w:pPr>
    </w:lvl>
    <w:lvl w:ilvl="7" w:tplc="04240019" w:tentative="1">
      <w:start w:val="1"/>
      <w:numFmt w:val="lowerLetter"/>
      <w:lvlText w:val="%8."/>
      <w:lvlJc w:val="left"/>
      <w:pPr>
        <w:tabs>
          <w:tab w:val="num" w:pos="6480"/>
        </w:tabs>
        <w:ind w:left="6480" w:hanging="360"/>
      </w:pPr>
    </w:lvl>
    <w:lvl w:ilvl="8" w:tplc="0424001B" w:tentative="1">
      <w:start w:val="1"/>
      <w:numFmt w:val="lowerRoman"/>
      <w:lvlText w:val="%9."/>
      <w:lvlJc w:val="right"/>
      <w:pPr>
        <w:tabs>
          <w:tab w:val="num" w:pos="7200"/>
        </w:tabs>
        <w:ind w:left="7200" w:hanging="180"/>
      </w:pPr>
    </w:lvl>
  </w:abstractNum>
  <w:abstractNum w:abstractNumId="17" w15:restartNumberingAfterBreak="0">
    <w:nsid w:val="23BE7386"/>
    <w:multiLevelType w:val="multilevel"/>
    <w:tmpl w:val="71E85068"/>
    <w:lvl w:ilvl="0">
      <w:start w:val="8"/>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4F3470F"/>
    <w:multiLevelType w:val="hybridMultilevel"/>
    <w:tmpl w:val="AB2AD5F0"/>
    <w:lvl w:ilvl="0" w:tplc="0F080336">
      <w:numFmt w:val="bullet"/>
      <w:lvlText w:val="-"/>
      <w:lvlJc w:val="left"/>
      <w:pPr>
        <w:ind w:left="720" w:hanging="360"/>
      </w:pPr>
      <w:rPr>
        <w:rFonts w:ascii="Courier New" w:eastAsia="Times New Roman" w:hAnsi="Courier New" w:cs="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9" w15:restartNumberingAfterBreak="0">
    <w:nsid w:val="2CA736DB"/>
    <w:multiLevelType w:val="hybridMultilevel"/>
    <w:tmpl w:val="5BAC31CC"/>
    <w:lvl w:ilvl="0" w:tplc="BB58B49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9B71EF"/>
    <w:multiLevelType w:val="hybridMultilevel"/>
    <w:tmpl w:val="BAB08DBE"/>
    <w:lvl w:ilvl="0" w:tplc="9AFAD1BC">
      <w:start w:val="17"/>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F818F4"/>
    <w:multiLevelType w:val="hybridMultilevel"/>
    <w:tmpl w:val="2DBCF6DC"/>
    <w:lvl w:ilvl="0" w:tplc="B948B890">
      <w:start w:val="1"/>
      <w:numFmt w:val="bullet"/>
      <w:lvlText w:val=""/>
      <w:lvlJc w:val="left"/>
      <w:pPr>
        <w:tabs>
          <w:tab w:val="num" w:pos="360"/>
        </w:tabs>
        <w:ind w:left="360" w:hanging="360"/>
      </w:pPr>
      <w:rPr>
        <w:rFonts w:ascii="Wingdings" w:hAnsi="Wingdings" w:hint="default"/>
        <w:color w:val="333399"/>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2" w15:restartNumberingAfterBreak="0">
    <w:nsid w:val="33C54DC5"/>
    <w:multiLevelType w:val="hybridMultilevel"/>
    <w:tmpl w:val="8F7610E2"/>
    <w:lvl w:ilvl="0" w:tplc="A0B83706">
      <w:start w:val="1"/>
      <w:numFmt w:val="bullet"/>
      <w:lvlText w:val=""/>
      <w:lvlJc w:val="left"/>
      <w:pPr>
        <w:tabs>
          <w:tab w:val="num" w:pos="360"/>
        </w:tabs>
        <w:ind w:left="360" w:hanging="360"/>
      </w:pPr>
      <w:rPr>
        <w:rFonts w:ascii="Wingdings" w:hAnsi="Wingdings" w:hint="default"/>
        <w:sz w:val="24"/>
        <w:szCs w:val="24"/>
      </w:rPr>
    </w:lvl>
    <w:lvl w:ilvl="1" w:tplc="081A0003" w:tentative="1">
      <w:start w:val="1"/>
      <w:numFmt w:val="bullet"/>
      <w:lvlText w:val="o"/>
      <w:lvlJc w:val="left"/>
      <w:pPr>
        <w:tabs>
          <w:tab w:val="num" w:pos="1080"/>
        </w:tabs>
        <w:ind w:left="1080" w:hanging="360"/>
      </w:pPr>
      <w:rPr>
        <w:rFonts w:ascii="Courier New" w:hAnsi="Courier New" w:cs="Courier New" w:hint="default"/>
      </w:rPr>
    </w:lvl>
    <w:lvl w:ilvl="2" w:tplc="081A0005" w:tentative="1">
      <w:start w:val="1"/>
      <w:numFmt w:val="bullet"/>
      <w:lvlText w:val=""/>
      <w:lvlJc w:val="left"/>
      <w:pPr>
        <w:tabs>
          <w:tab w:val="num" w:pos="1800"/>
        </w:tabs>
        <w:ind w:left="1800" w:hanging="360"/>
      </w:pPr>
      <w:rPr>
        <w:rFonts w:ascii="Wingdings" w:hAnsi="Wingdings" w:hint="default"/>
      </w:rPr>
    </w:lvl>
    <w:lvl w:ilvl="3" w:tplc="081A0001" w:tentative="1">
      <w:start w:val="1"/>
      <w:numFmt w:val="bullet"/>
      <w:lvlText w:val=""/>
      <w:lvlJc w:val="left"/>
      <w:pPr>
        <w:tabs>
          <w:tab w:val="num" w:pos="2520"/>
        </w:tabs>
        <w:ind w:left="2520" w:hanging="360"/>
      </w:pPr>
      <w:rPr>
        <w:rFonts w:ascii="Symbol" w:hAnsi="Symbol" w:hint="default"/>
      </w:rPr>
    </w:lvl>
    <w:lvl w:ilvl="4" w:tplc="081A0003" w:tentative="1">
      <w:start w:val="1"/>
      <w:numFmt w:val="bullet"/>
      <w:lvlText w:val="o"/>
      <w:lvlJc w:val="left"/>
      <w:pPr>
        <w:tabs>
          <w:tab w:val="num" w:pos="3240"/>
        </w:tabs>
        <w:ind w:left="3240" w:hanging="360"/>
      </w:pPr>
      <w:rPr>
        <w:rFonts w:ascii="Courier New" w:hAnsi="Courier New" w:cs="Courier New" w:hint="default"/>
      </w:rPr>
    </w:lvl>
    <w:lvl w:ilvl="5" w:tplc="081A0005" w:tentative="1">
      <w:start w:val="1"/>
      <w:numFmt w:val="bullet"/>
      <w:lvlText w:val=""/>
      <w:lvlJc w:val="left"/>
      <w:pPr>
        <w:tabs>
          <w:tab w:val="num" w:pos="3960"/>
        </w:tabs>
        <w:ind w:left="3960" w:hanging="360"/>
      </w:pPr>
      <w:rPr>
        <w:rFonts w:ascii="Wingdings" w:hAnsi="Wingdings" w:hint="default"/>
      </w:rPr>
    </w:lvl>
    <w:lvl w:ilvl="6" w:tplc="081A0001" w:tentative="1">
      <w:start w:val="1"/>
      <w:numFmt w:val="bullet"/>
      <w:lvlText w:val=""/>
      <w:lvlJc w:val="left"/>
      <w:pPr>
        <w:tabs>
          <w:tab w:val="num" w:pos="4680"/>
        </w:tabs>
        <w:ind w:left="4680" w:hanging="360"/>
      </w:pPr>
      <w:rPr>
        <w:rFonts w:ascii="Symbol" w:hAnsi="Symbol" w:hint="default"/>
      </w:rPr>
    </w:lvl>
    <w:lvl w:ilvl="7" w:tplc="081A0003" w:tentative="1">
      <w:start w:val="1"/>
      <w:numFmt w:val="bullet"/>
      <w:lvlText w:val="o"/>
      <w:lvlJc w:val="left"/>
      <w:pPr>
        <w:tabs>
          <w:tab w:val="num" w:pos="5400"/>
        </w:tabs>
        <w:ind w:left="5400" w:hanging="360"/>
      </w:pPr>
      <w:rPr>
        <w:rFonts w:ascii="Courier New" w:hAnsi="Courier New" w:cs="Courier New" w:hint="default"/>
      </w:rPr>
    </w:lvl>
    <w:lvl w:ilvl="8" w:tplc="081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46242A8"/>
    <w:multiLevelType w:val="hybridMultilevel"/>
    <w:tmpl w:val="B7D60FD2"/>
    <w:lvl w:ilvl="0" w:tplc="9E00E142">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F66B70"/>
    <w:multiLevelType w:val="multilevel"/>
    <w:tmpl w:val="36F60E1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CBC2ECF"/>
    <w:multiLevelType w:val="hybridMultilevel"/>
    <w:tmpl w:val="0B44B148"/>
    <w:lvl w:ilvl="0" w:tplc="B948B890">
      <w:start w:val="1"/>
      <w:numFmt w:val="bullet"/>
      <w:lvlText w:val=""/>
      <w:lvlJc w:val="left"/>
      <w:pPr>
        <w:tabs>
          <w:tab w:val="num" w:pos="360"/>
        </w:tabs>
        <w:ind w:left="360" w:hanging="360"/>
      </w:pPr>
      <w:rPr>
        <w:rFonts w:ascii="Wingdings" w:hAnsi="Wingdings" w:hint="default"/>
        <w:color w:val="333399"/>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6" w15:restartNumberingAfterBreak="0">
    <w:nsid w:val="3E230899"/>
    <w:multiLevelType w:val="hybridMultilevel"/>
    <w:tmpl w:val="F26001B0"/>
    <w:lvl w:ilvl="0" w:tplc="6DACC602">
      <w:start w:val="1"/>
      <w:numFmt w:val="decimal"/>
      <w:lvlText w:val="%1."/>
      <w:lvlJc w:val="left"/>
      <w:pPr>
        <w:tabs>
          <w:tab w:val="num" w:pos="360"/>
        </w:tabs>
        <w:ind w:left="0" w:firstLine="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7" w15:restartNumberingAfterBreak="0">
    <w:nsid w:val="4868014D"/>
    <w:multiLevelType w:val="hybridMultilevel"/>
    <w:tmpl w:val="4B4644EE"/>
    <w:lvl w:ilvl="0" w:tplc="0BE0E330">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9755141"/>
    <w:multiLevelType w:val="hybridMultilevel"/>
    <w:tmpl w:val="05829C34"/>
    <w:lvl w:ilvl="0" w:tplc="09A6AA92">
      <w:start w:val="1"/>
      <w:numFmt w:val="decimal"/>
      <w:lvlText w:val="%1"/>
      <w:lvlJc w:val="left"/>
      <w:pPr>
        <w:ind w:left="149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2E7D64"/>
    <w:multiLevelType w:val="hybridMultilevel"/>
    <w:tmpl w:val="ECE6FC7E"/>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0" w15:restartNumberingAfterBreak="0">
    <w:nsid w:val="4BA006E5"/>
    <w:multiLevelType w:val="hybridMultilevel"/>
    <w:tmpl w:val="50C4FDC8"/>
    <w:lvl w:ilvl="0" w:tplc="0F080336">
      <w:numFmt w:val="bullet"/>
      <w:lvlText w:val="-"/>
      <w:lvlJc w:val="left"/>
      <w:pPr>
        <w:ind w:left="720" w:hanging="360"/>
      </w:pPr>
      <w:rPr>
        <w:rFonts w:ascii="Courier New" w:eastAsia="Times New Roman" w:hAnsi="Courier Ne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4EA83CAF"/>
    <w:multiLevelType w:val="hybridMultilevel"/>
    <w:tmpl w:val="78E2DF24"/>
    <w:lvl w:ilvl="0" w:tplc="1D385D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327655"/>
    <w:multiLevelType w:val="hybridMultilevel"/>
    <w:tmpl w:val="EFCE6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220C88"/>
    <w:multiLevelType w:val="hybridMultilevel"/>
    <w:tmpl w:val="D12CFB18"/>
    <w:lvl w:ilvl="0" w:tplc="53B83D96">
      <w:start w:val="6"/>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0A4F55"/>
    <w:multiLevelType w:val="hybridMultilevel"/>
    <w:tmpl w:val="88FE0E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5" w15:restartNumberingAfterBreak="0">
    <w:nsid w:val="61D20298"/>
    <w:multiLevelType w:val="hybridMultilevel"/>
    <w:tmpl w:val="60947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F6B2D72"/>
    <w:multiLevelType w:val="hybridMultilevel"/>
    <w:tmpl w:val="36560D92"/>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37" w15:restartNumberingAfterBreak="0">
    <w:nsid w:val="709D104E"/>
    <w:multiLevelType w:val="multilevel"/>
    <w:tmpl w:val="36F60E1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1A053A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36F2DE2"/>
    <w:multiLevelType w:val="hybridMultilevel"/>
    <w:tmpl w:val="CA301B2C"/>
    <w:lvl w:ilvl="0" w:tplc="AF889BD8">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0"/>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9"/>
  </w:num>
  <w:num w:numId="6">
    <w:abstractNumId w:val="23"/>
  </w:num>
  <w:num w:numId="7">
    <w:abstractNumId w:val="32"/>
  </w:num>
  <w:num w:numId="8">
    <w:abstractNumId w:val="33"/>
  </w:num>
  <w:num w:numId="9">
    <w:abstractNumId w:val="39"/>
  </w:num>
  <w:num w:numId="10">
    <w:abstractNumId w:val="38"/>
  </w:num>
  <w:num w:numId="11">
    <w:abstractNumId w:val="12"/>
  </w:num>
  <w:num w:numId="12">
    <w:abstractNumId w:val="31"/>
  </w:num>
  <w:num w:numId="13">
    <w:abstractNumId w:val="10"/>
  </w:num>
  <w:num w:numId="14">
    <w:abstractNumId w:val="34"/>
  </w:num>
  <w:num w:numId="15">
    <w:abstractNumId w:val="35"/>
  </w:num>
  <w:num w:numId="16">
    <w:abstractNumId w:val="8"/>
  </w:num>
  <w:num w:numId="17">
    <w:abstractNumId w:val="22"/>
  </w:num>
  <w:num w:numId="18">
    <w:abstractNumId w:val="7"/>
  </w:num>
  <w:num w:numId="19">
    <w:abstractNumId w:val="21"/>
  </w:num>
  <w:num w:numId="20">
    <w:abstractNumId w:val="5"/>
  </w:num>
  <w:num w:numId="21">
    <w:abstractNumId w:val="25"/>
  </w:num>
  <w:num w:numId="22">
    <w:abstractNumId w:val="29"/>
  </w:num>
  <w:num w:numId="23">
    <w:abstractNumId w:val="30"/>
  </w:num>
  <w:num w:numId="24">
    <w:abstractNumId w:val="14"/>
  </w:num>
  <w:num w:numId="25">
    <w:abstractNumId w:val="16"/>
  </w:num>
  <w:num w:numId="26">
    <w:abstractNumId w:val="0"/>
  </w:num>
  <w:num w:numId="27">
    <w:abstractNumId w:val="27"/>
  </w:num>
  <w:num w:numId="28">
    <w:abstractNumId w:val="9"/>
  </w:num>
  <w:num w:numId="2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15"/>
  </w:num>
  <w:num w:numId="32">
    <w:abstractNumId w:val="4"/>
  </w:num>
  <w:num w:numId="33">
    <w:abstractNumId w:val="17"/>
  </w:num>
  <w:num w:numId="34">
    <w:abstractNumId w:val="26"/>
  </w:num>
  <w:num w:numId="35">
    <w:abstractNumId w:val="24"/>
  </w:num>
  <w:num w:numId="36">
    <w:abstractNumId w:val="36"/>
  </w:num>
  <w:num w:numId="37">
    <w:abstractNumId w:val="37"/>
  </w:num>
  <w:num w:numId="38">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CE9"/>
    <w:rsid w:val="00004A1F"/>
    <w:rsid w:val="00015062"/>
    <w:rsid w:val="00015EF4"/>
    <w:rsid w:val="00027373"/>
    <w:rsid w:val="000308A6"/>
    <w:rsid w:val="0003682C"/>
    <w:rsid w:val="0006636A"/>
    <w:rsid w:val="00067C0C"/>
    <w:rsid w:val="00070A48"/>
    <w:rsid w:val="0007339A"/>
    <w:rsid w:val="000754D4"/>
    <w:rsid w:val="00081758"/>
    <w:rsid w:val="00092DF2"/>
    <w:rsid w:val="000A01E9"/>
    <w:rsid w:val="000A5B48"/>
    <w:rsid w:val="000A6C81"/>
    <w:rsid w:val="000B23BE"/>
    <w:rsid w:val="000B55AC"/>
    <w:rsid w:val="000B5D60"/>
    <w:rsid w:val="000B6439"/>
    <w:rsid w:val="000C1F15"/>
    <w:rsid w:val="000C6513"/>
    <w:rsid w:val="000E1333"/>
    <w:rsid w:val="000E18C5"/>
    <w:rsid w:val="000E1E96"/>
    <w:rsid w:val="000E4037"/>
    <w:rsid w:val="000F5CF2"/>
    <w:rsid w:val="00100E1F"/>
    <w:rsid w:val="00101663"/>
    <w:rsid w:val="00102C34"/>
    <w:rsid w:val="00103490"/>
    <w:rsid w:val="00110FDE"/>
    <w:rsid w:val="00114AA7"/>
    <w:rsid w:val="00114DB2"/>
    <w:rsid w:val="0011715B"/>
    <w:rsid w:val="001309B5"/>
    <w:rsid w:val="0013594D"/>
    <w:rsid w:val="0013616D"/>
    <w:rsid w:val="0013624A"/>
    <w:rsid w:val="001372CA"/>
    <w:rsid w:val="0015361D"/>
    <w:rsid w:val="0016116A"/>
    <w:rsid w:val="00162B0F"/>
    <w:rsid w:val="00167F97"/>
    <w:rsid w:val="00174EAE"/>
    <w:rsid w:val="0019517E"/>
    <w:rsid w:val="0019653F"/>
    <w:rsid w:val="001A189D"/>
    <w:rsid w:val="001A21FB"/>
    <w:rsid w:val="001E0FE7"/>
    <w:rsid w:val="001E5F4F"/>
    <w:rsid w:val="001F35E7"/>
    <w:rsid w:val="00203B52"/>
    <w:rsid w:val="002052D8"/>
    <w:rsid w:val="00206F6F"/>
    <w:rsid w:val="00213181"/>
    <w:rsid w:val="0021404F"/>
    <w:rsid w:val="002155AE"/>
    <w:rsid w:val="00220D8E"/>
    <w:rsid w:val="00226D34"/>
    <w:rsid w:val="00245D4E"/>
    <w:rsid w:val="00246D0D"/>
    <w:rsid w:val="00255935"/>
    <w:rsid w:val="00263823"/>
    <w:rsid w:val="00264B5B"/>
    <w:rsid w:val="002669FD"/>
    <w:rsid w:val="00272E70"/>
    <w:rsid w:val="00282788"/>
    <w:rsid w:val="00286D48"/>
    <w:rsid w:val="00291C8D"/>
    <w:rsid w:val="00294EBC"/>
    <w:rsid w:val="00296666"/>
    <w:rsid w:val="002A1DD1"/>
    <w:rsid w:val="002A1E6C"/>
    <w:rsid w:val="002A641B"/>
    <w:rsid w:val="002B03A7"/>
    <w:rsid w:val="002B15E1"/>
    <w:rsid w:val="002B5720"/>
    <w:rsid w:val="002B6CFC"/>
    <w:rsid w:val="002C41D0"/>
    <w:rsid w:val="002D13A3"/>
    <w:rsid w:val="002D239E"/>
    <w:rsid w:val="002E1FCD"/>
    <w:rsid w:val="002F21D8"/>
    <w:rsid w:val="002F2617"/>
    <w:rsid w:val="002F2766"/>
    <w:rsid w:val="002F5BA5"/>
    <w:rsid w:val="002F6414"/>
    <w:rsid w:val="002F684A"/>
    <w:rsid w:val="002F69FF"/>
    <w:rsid w:val="002F6B8D"/>
    <w:rsid w:val="0030220B"/>
    <w:rsid w:val="003049BD"/>
    <w:rsid w:val="00306533"/>
    <w:rsid w:val="0030785E"/>
    <w:rsid w:val="00316B67"/>
    <w:rsid w:val="00323FAA"/>
    <w:rsid w:val="003328A5"/>
    <w:rsid w:val="0033524F"/>
    <w:rsid w:val="00335CBB"/>
    <w:rsid w:val="0033681B"/>
    <w:rsid w:val="003429B4"/>
    <w:rsid w:val="0034503F"/>
    <w:rsid w:val="003610B5"/>
    <w:rsid w:val="00364090"/>
    <w:rsid w:val="00364A47"/>
    <w:rsid w:val="00374A63"/>
    <w:rsid w:val="00377AD4"/>
    <w:rsid w:val="00380CFA"/>
    <w:rsid w:val="00382EA6"/>
    <w:rsid w:val="00384B28"/>
    <w:rsid w:val="00391106"/>
    <w:rsid w:val="00391FF6"/>
    <w:rsid w:val="003A0334"/>
    <w:rsid w:val="003A0903"/>
    <w:rsid w:val="003B0E4F"/>
    <w:rsid w:val="003B5BA1"/>
    <w:rsid w:val="003B7688"/>
    <w:rsid w:val="003E0EB8"/>
    <w:rsid w:val="003E3978"/>
    <w:rsid w:val="003F0939"/>
    <w:rsid w:val="003F3A4A"/>
    <w:rsid w:val="003F7F64"/>
    <w:rsid w:val="004034BD"/>
    <w:rsid w:val="00406396"/>
    <w:rsid w:val="004152FE"/>
    <w:rsid w:val="0041540F"/>
    <w:rsid w:val="00421057"/>
    <w:rsid w:val="00426D9A"/>
    <w:rsid w:val="00427363"/>
    <w:rsid w:val="00435469"/>
    <w:rsid w:val="00436D13"/>
    <w:rsid w:val="0044619D"/>
    <w:rsid w:val="00447849"/>
    <w:rsid w:val="00457B1A"/>
    <w:rsid w:val="00462E58"/>
    <w:rsid w:val="00464CEF"/>
    <w:rsid w:val="00467A05"/>
    <w:rsid w:val="004700D7"/>
    <w:rsid w:val="00472D0C"/>
    <w:rsid w:val="0047326F"/>
    <w:rsid w:val="0048323E"/>
    <w:rsid w:val="00490505"/>
    <w:rsid w:val="00492416"/>
    <w:rsid w:val="0049400A"/>
    <w:rsid w:val="004A1F36"/>
    <w:rsid w:val="004A2432"/>
    <w:rsid w:val="004B2B22"/>
    <w:rsid w:val="004B4FC0"/>
    <w:rsid w:val="004B7C7F"/>
    <w:rsid w:val="004B7E20"/>
    <w:rsid w:val="004D0F5C"/>
    <w:rsid w:val="004E19E0"/>
    <w:rsid w:val="004F1786"/>
    <w:rsid w:val="004F1906"/>
    <w:rsid w:val="004F6478"/>
    <w:rsid w:val="00500AB3"/>
    <w:rsid w:val="005010C6"/>
    <w:rsid w:val="00502A03"/>
    <w:rsid w:val="005053D0"/>
    <w:rsid w:val="005104D0"/>
    <w:rsid w:val="00521941"/>
    <w:rsid w:val="00521D0B"/>
    <w:rsid w:val="00523750"/>
    <w:rsid w:val="00533BBA"/>
    <w:rsid w:val="00536710"/>
    <w:rsid w:val="00537B52"/>
    <w:rsid w:val="005431E1"/>
    <w:rsid w:val="00550B09"/>
    <w:rsid w:val="00552F91"/>
    <w:rsid w:val="0055402A"/>
    <w:rsid w:val="005613E1"/>
    <w:rsid w:val="00562D7E"/>
    <w:rsid w:val="00571F9B"/>
    <w:rsid w:val="00573F94"/>
    <w:rsid w:val="005765E8"/>
    <w:rsid w:val="005821A1"/>
    <w:rsid w:val="00583CA0"/>
    <w:rsid w:val="00590CB3"/>
    <w:rsid w:val="00593D60"/>
    <w:rsid w:val="00597553"/>
    <w:rsid w:val="005A5F0F"/>
    <w:rsid w:val="005B1D64"/>
    <w:rsid w:val="005B5E10"/>
    <w:rsid w:val="005C3866"/>
    <w:rsid w:val="005D0491"/>
    <w:rsid w:val="005D66D2"/>
    <w:rsid w:val="005D6E3C"/>
    <w:rsid w:val="005D7CF7"/>
    <w:rsid w:val="00602A43"/>
    <w:rsid w:val="00613179"/>
    <w:rsid w:val="006174EB"/>
    <w:rsid w:val="00620603"/>
    <w:rsid w:val="006215D8"/>
    <w:rsid w:val="00621F29"/>
    <w:rsid w:val="006265EA"/>
    <w:rsid w:val="006323B7"/>
    <w:rsid w:val="006405C0"/>
    <w:rsid w:val="00642F3C"/>
    <w:rsid w:val="006479DB"/>
    <w:rsid w:val="00652A01"/>
    <w:rsid w:val="0066485F"/>
    <w:rsid w:val="006746F6"/>
    <w:rsid w:val="00683DB7"/>
    <w:rsid w:val="00687DD2"/>
    <w:rsid w:val="006C3EA3"/>
    <w:rsid w:val="006C7D37"/>
    <w:rsid w:val="006D08D8"/>
    <w:rsid w:val="006D43C7"/>
    <w:rsid w:val="006F7CE9"/>
    <w:rsid w:val="00704035"/>
    <w:rsid w:val="00715526"/>
    <w:rsid w:val="0072176C"/>
    <w:rsid w:val="00727CDC"/>
    <w:rsid w:val="0073095C"/>
    <w:rsid w:val="0073352C"/>
    <w:rsid w:val="00734383"/>
    <w:rsid w:val="0074199D"/>
    <w:rsid w:val="00743DAA"/>
    <w:rsid w:val="00753472"/>
    <w:rsid w:val="00756235"/>
    <w:rsid w:val="007611F9"/>
    <w:rsid w:val="00764532"/>
    <w:rsid w:val="0076457C"/>
    <w:rsid w:val="00773405"/>
    <w:rsid w:val="00776D8F"/>
    <w:rsid w:val="0078089E"/>
    <w:rsid w:val="00780DD1"/>
    <w:rsid w:val="00781B69"/>
    <w:rsid w:val="00782E80"/>
    <w:rsid w:val="00783ED4"/>
    <w:rsid w:val="00784901"/>
    <w:rsid w:val="007929BD"/>
    <w:rsid w:val="007A2690"/>
    <w:rsid w:val="007A49F3"/>
    <w:rsid w:val="007A5A01"/>
    <w:rsid w:val="007B345A"/>
    <w:rsid w:val="007B4C6E"/>
    <w:rsid w:val="007C3F51"/>
    <w:rsid w:val="007C62F0"/>
    <w:rsid w:val="007E01CA"/>
    <w:rsid w:val="007E26F3"/>
    <w:rsid w:val="007F5054"/>
    <w:rsid w:val="007F5366"/>
    <w:rsid w:val="007F7E86"/>
    <w:rsid w:val="008001FC"/>
    <w:rsid w:val="008014E2"/>
    <w:rsid w:val="008027E5"/>
    <w:rsid w:val="00814379"/>
    <w:rsid w:val="008216D3"/>
    <w:rsid w:val="00824714"/>
    <w:rsid w:val="00824858"/>
    <w:rsid w:val="0082554A"/>
    <w:rsid w:val="00834FCD"/>
    <w:rsid w:val="00836D0B"/>
    <w:rsid w:val="00837AF6"/>
    <w:rsid w:val="00842DE8"/>
    <w:rsid w:val="00864B33"/>
    <w:rsid w:val="008656E4"/>
    <w:rsid w:val="00867171"/>
    <w:rsid w:val="00872478"/>
    <w:rsid w:val="00872565"/>
    <w:rsid w:val="0088119C"/>
    <w:rsid w:val="0088480C"/>
    <w:rsid w:val="00893E70"/>
    <w:rsid w:val="008A00FF"/>
    <w:rsid w:val="008A694E"/>
    <w:rsid w:val="008B07C2"/>
    <w:rsid w:val="008B089E"/>
    <w:rsid w:val="008B0F85"/>
    <w:rsid w:val="008B549B"/>
    <w:rsid w:val="008B7B79"/>
    <w:rsid w:val="008B7FF2"/>
    <w:rsid w:val="008C6F08"/>
    <w:rsid w:val="008D3FE5"/>
    <w:rsid w:val="008D5C45"/>
    <w:rsid w:val="008F0056"/>
    <w:rsid w:val="008F2173"/>
    <w:rsid w:val="00900AAD"/>
    <w:rsid w:val="00902593"/>
    <w:rsid w:val="00904B0E"/>
    <w:rsid w:val="00922392"/>
    <w:rsid w:val="009317C8"/>
    <w:rsid w:val="00931A40"/>
    <w:rsid w:val="00935CE5"/>
    <w:rsid w:val="00937FE8"/>
    <w:rsid w:val="00946546"/>
    <w:rsid w:val="009531DE"/>
    <w:rsid w:val="009623F1"/>
    <w:rsid w:val="00967E16"/>
    <w:rsid w:val="00974139"/>
    <w:rsid w:val="00982B79"/>
    <w:rsid w:val="00992647"/>
    <w:rsid w:val="009A68C4"/>
    <w:rsid w:val="009B266C"/>
    <w:rsid w:val="009B2BCB"/>
    <w:rsid w:val="009B6699"/>
    <w:rsid w:val="009D0BE9"/>
    <w:rsid w:val="009D327F"/>
    <w:rsid w:val="009D7374"/>
    <w:rsid w:val="009E125C"/>
    <w:rsid w:val="009F07B7"/>
    <w:rsid w:val="009F18E5"/>
    <w:rsid w:val="009F1AAA"/>
    <w:rsid w:val="009F7FB1"/>
    <w:rsid w:val="00A06504"/>
    <w:rsid w:val="00A06C01"/>
    <w:rsid w:val="00A103B8"/>
    <w:rsid w:val="00A2340B"/>
    <w:rsid w:val="00A307C7"/>
    <w:rsid w:val="00A413CB"/>
    <w:rsid w:val="00A55F8A"/>
    <w:rsid w:val="00A60755"/>
    <w:rsid w:val="00A71435"/>
    <w:rsid w:val="00A81836"/>
    <w:rsid w:val="00A837FC"/>
    <w:rsid w:val="00A903A0"/>
    <w:rsid w:val="00A93C74"/>
    <w:rsid w:val="00AA3012"/>
    <w:rsid w:val="00AA3D01"/>
    <w:rsid w:val="00AA4885"/>
    <w:rsid w:val="00AB3EC6"/>
    <w:rsid w:val="00AB623E"/>
    <w:rsid w:val="00AC34CF"/>
    <w:rsid w:val="00AC41B7"/>
    <w:rsid w:val="00AE1FF1"/>
    <w:rsid w:val="00AE35EE"/>
    <w:rsid w:val="00AE60E4"/>
    <w:rsid w:val="00AF1EB6"/>
    <w:rsid w:val="00B02988"/>
    <w:rsid w:val="00B175C1"/>
    <w:rsid w:val="00B248D7"/>
    <w:rsid w:val="00B26D17"/>
    <w:rsid w:val="00B33146"/>
    <w:rsid w:val="00B661AA"/>
    <w:rsid w:val="00B71920"/>
    <w:rsid w:val="00B72474"/>
    <w:rsid w:val="00B86061"/>
    <w:rsid w:val="00B879D8"/>
    <w:rsid w:val="00B94B7D"/>
    <w:rsid w:val="00B96369"/>
    <w:rsid w:val="00BA7567"/>
    <w:rsid w:val="00BC1397"/>
    <w:rsid w:val="00BC1E63"/>
    <w:rsid w:val="00BC767B"/>
    <w:rsid w:val="00BD140B"/>
    <w:rsid w:val="00BD4998"/>
    <w:rsid w:val="00BE03F3"/>
    <w:rsid w:val="00BF2A54"/>
    <w:rsid w:val="00BF3D66"/>
    <w:rsid w:val="00BF7DB0"/>
    <w:rsid w:val="00C029F9"/>
    <w:rsid w:val="00C057FB"/>
    <w:rsid w:val="00C13828"/>
    <w:rsid w:val="00C30743"/>
    <w:rsid w:val="00C32740"/>
    <w:rsid w:val="00C34496"/>
    <w:rsid w:val="00C3585C"/>
    <w:rsid w:val="00C40D33"/>
    <w:rsid w:val="00C41150"/>
    <w:rsid w:val="00C72AAB"/>
    <w:rsid w:val="00C7478B"/>
    <w:rsid w:val="00C74B46"/>
    <w:rsid w:val="00C7633D"/>
    <w:rsid w:val="00C80E1D"/>
    <w:rsid w:val="00C8702F"/>
    <w:rsid w:val="00C9040D"/>
    <w:rsid w:val="00C913AC"/>
    <w:rsid w:val="00C92D05"/>
    <w:rsid w:val="00C97CAC"/>
    <w:rsid w:val="00CA1FFF"/>
    <w:rsid w:val="00CC1962"/>
    <w:rsid w:val="00CD3769"/>
    <w:rsid w:val="00CF028C"/>
    <w:rsid w:val="00CF65CC"/>
    <w:rsid w:val="00D04BEB"/>
    <w:rsid w:val="00D11A7E"/>
    <w:rsid w:val="00D15B03"/>
    <w:rsid w:val="00D16217"/>
    <w:rsid w:val="00D167E7"/>
    <w:rsid w:val="00D251D8"/>
    <w:rsid w:val="00D25888"/>
    <w:rsid w:val="00D27CA7"/>
    <w:rsid w:val="00D44949"/>
    <w:rsid w:val="00D45CBF"/>
    <w:rsid w:val="00D475B6"/>
    <w:rsid w:val="00D50D7A"/>
    <w:rsid w:val="00D536AE"/>
    <w:rsid w:val="00D77689"/>
    <w:rsid w:val="00D7778C"/>
    <w:rsid w:val="00D77D3F"/>
    <w:rsid w:val="00D8675A"/>
    <w:rsid w:val="00D9549A"/>
    <w:rsid w:val="00D962B8"/>
    <w:rsid w:val="00DA3992"/>
    <w:rsid w:val="00DA4831"/>
    <w:rsid w:val="00DB0DF2"/>
    <w:rsid w:val="00DB347E"/>
    <w:rsid w:val="00DB79A1"/>
    <w:rsid w:val="00DC1A46"/>
    <w:rsid w:val="00DC3E89"/>
    <w:rsid w:val="00DC7656"/>
    <w:rsid w:val="00DD1E30"/>
    <w:rsid w:val="00DD2FDE"/>
    <w:rsid w:val="00DD476D"/>
    <w:rsid w:val="00DD7E0D"/>
    <w:rsid w:val="00DD7E74"/>
    <w:rsid w:val="00DE45E6"/>
    <w:rsid w:val="00E00A5F"/>
    <w:rsid w:val="00E14364"/>
    <w:rsid w:val="00E174EE"/>
    <w:rsid w:val="00E25560"/>
    <w:rsid w:val="00E30E02"/>
    <w:rsid w:val="00E32E56"/>
    <w:rsid w:val="00E32E73"/>
    <w:rsid w:val="00E342BD"/>
    <w:rsid w:val="00E628EF"/>
    <w:rsid w:val="00E67F37"/>
    <w:rsid w:val="00E70964"/>
    <w:rsid w:val="00E73943"/>
    <w:rsid w:val="00E73A93"/>
    <w:rsid w:val="00E74212"/>
    <w:rsid w:val="00E7677A"/>
    <w:rsid w:val="00E91FC4"/>
    <w:rsid w:val="00E97628"/>
    <w:rsid w:val="00EB538D"/>
    <w:rsid w:val="00EC0366"/>
    <w:rsid w:val="00EC557E"/>
    <w:rsid w:val="00ED0A1A"/>
    <w:rsid w:val="00ED681A"/>
    <w:rsid w:val="00EE5B0E"/>
    <w:rsid w:val="00EE64AF"/>
    <w:rsid w:val="00F04485"/>
    <w:rsid w:val="00F056F0"/>
    <w:rsid w:val="00F06BE7"/>
    <w:rsid w:val="00F070D2"/>
    <w:rsid w:val="00F072F1"/>
    <w:rsid w:val="00F125F4"/>
    <w:rsid w:val="00F14B13"/>
    <w:rsid w:val="00F151B8"/>
    <w:rsid w:val="00F334EB"/>
    <w:rsid w:val="00F4453A"/>
    <w:rsid w:val="00F5152B"/>
    <w:rsid w:val="00F51889"/>
    <w:rsid w:val="00F523B9"/>
    <w:rsid w:val="00F641D4"/>
    <w:rsid w:val="00F6589A"/>
    <w:rsid w:val="00F776A5"/>
    <w:rsid w:val="00F84BE5"/>
    <w:rsid w:val="00F8736A"/>
    <w:rsid w:val="00FA0557"/>
    <w:rsid w:val="00FA5B45"/>
    <w:rsid w:val="00FC25D4"/>
    <w:rsid w:val="00FC75C8"/>
    <w:rsid w:val="00FE2ABD"/>
    <w:rsid w:val="00FE46E1"/>
    <w:rsid w:val="00FE7EA8"/>
    <w:rsid w:val="00FF00A4"/>
    <w:rsid w:val="00FF655E"/>
    <w:rsid w:val="00FF7E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D282D"/>
  <w15:docId w15:val="{3C0F6EF9-C38B-4790-BCB8-9401A241D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r-Latn-ME"/>
    </w:rPr>
  </w:style>
  <w:style w:type="paragraph" w:styleId="Heading1">
    <w:name w:val="heading 1"/>
    <w:basedOn w:val="Normal"/>
    <w:next w:val="Normal"/>
    <w:link w:val="Heading1Char"/>
    <w:uiPriority w:val="9"/>
    <w:qFormat/>
    <w:rsid w:val="006D08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B03A7"/>
    <w:pPr>
      <w:keepNext/>
      <w:spacing w:before="240" w:after="240" w:line="240" w:lineRule="auto"/>
      <w:outlineLvl w:val="1"/>
    </w:pPr>
    <w:rPr>
      <w:rFonts w:ascii="Arial" w:eastAsia="Times New Roman" w:hAnsi="Arial" w:cs="Times New Roman"/>
      <w:b/>
      <w:sz w:val="28"/>
      <w:szCs w:val="28"/>
      <w:lang w:val="hr-HR" w:eastAsia="hr-HR"/>
    </w:rPr>
  </w:style>
  <w:style w:type="paragraph" w:styleId="Heading3">
    <w:name w:val="heading 3"/>
    <w:basedOn w:val="Normal"/>
    <w:next w:val="Normal"/>
    <w:link w:val="Heading3Char"/>
    <w:uiPriority w:val="9"/>
    <w:semiHidden/>
    <w:unhideWhenUsed/>
    <w:qFormat/>
    <w:rsid w:val="00DD2FDE"/>
    <w:pPr>
      <w:keepNext/>
      <w:keepLines/>
      <w:spacing w:before="200" w:after="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link w:val="Heading9Char"/>
    <w:uiPriority w:val="9"/>
    <w:semiHidden/>
    <w:unhideWhenUsed/>
    <w:qFormat/>
    <w:rsid w:val="00F14B1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7CD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3585C"/>
    <w:rPr>
      <w:sz w:val="16"/>
      <w:szCs w:val="16"/>
    </w:rPr>
  </w:style>
  <w:style w:type="paragraph" w:styleId="CommentText">
    <w:name w:val="annotation text"/>
    <w:basedOn w:val="Normal"/>
    <w:link w:val="CommentTextChar"/>
    <w:uiPriority w:val="99"/>
    <w:semiHidden/>
    <w:unhideWhenUsed/>
    <w:rsid w:val="00C3585C"/>
    <w:pPr>
      <w:spacing w:line="240" w:lineRule="auto"/>
    </w:pPr>
    <w:rPr>
      <w:sz w:val="20"/>
      <w:szCs w:val="20"/>
    </w:rPr>
  </w:style>
  <w:style w:type="character" w:customStyle="1" w:styleId="CommentTextChar">
    <w:name w:val="Comment Text Char"/>
    <w:basedOn w:val="DefaultParagraphFont"/>
    <w:link w:val="CommentText"/>
    <w:uiPriority w:val="99"/>
    <w:semiHidden/>
    <w:rsid w:val="00C3585C"/>
    <w:rPr>
      <w:sz w:val="20"/>
      <w:szCs w:val="20"/>
    </w:rPr>
  </w:style>
  <w:style w:type="paragraph" w:styleId="CommentSubject">
    <w:name w:val="annotation subject"/>
    <w:basedOn w:val="CommentText"/>
    <w:next w:val="CommentText"/>
    <w:link w:val="CommentSubjectChar"/>
    <w:uiPriority w:val="99"/>
    <w:semiHidden/>
    <w:unhideWhenUsed/>
    <w:rsid w:val="00C3585C"/>
    <w:rPr>
      <w:b/>
      <w:bCs/>
    </w:rPr>
  </w:style>
  <w:style w:type="character" w:customStyle="1" w:styleId="CommentSubjectChar">
    <w:name w:val="Comment Subject Char"/>
    <w:basedOn w:val="CommentTextChar"/>
    <w:link w:val="CommentSubject"/>
    <w:uiPriority w:val="99"/>
    <w:semiHidden/>
    <w:rsid w:val="00C3585C"/>
    <w:rPr>
      <w:b/>
      <w:bCs/>
      <w:sz w:val="20"/>
      <w:szCs w:val="20"/>
    </w:rPr>
  </w:style>
  <w:style w:type="paragraph" w:styleId="BalloonText">
    <w:name w:val="Balloon Text"/>
    <w:basedOn w:val="Normal"/>
    <w:link w:val="BalloonTextChar"/>
    <w:uiPriority w:val="99"/>
    <w:semiHidden/>
    <w:unhideWhenUsed/>
    <w:rsid w:val="00C358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85C"/>
    <w:rPr>
      <w:rFonts w:ascii="Tahoma" w:hAnsi="Tahoma" w:cs="Tahoma"/>
      <w:sz w:val="16"/>
      <w:szCs w:val="16"/>
    </w:rPr>
  </w:style>
  <w:style w:type="paragraph" w:styleId="ListParagraph">
    <w:name w:val="List Paragraph"/>
    <w:basedOn w:val="Normal"/>
    <w:link w:val="ListParagraphChar"/>
    <w:uiPriority w:val="34"/>
    <w:qFormat/>
    <w:rsid w:val="002D239E"/>
    <w:pPr>
      <w:ind w:left="720"/>
      <w:contextualSpacing/>
    </w:pPr>
  </w:style>
  <w:style w:type="paragraph" w:styleId="Header">
    <w:name w:val="header"/>
    <w:aliases w:val=" Char,Char"/>
    <w:basedOn w:val="Normal"/>
    <w:link w:val="HeaderChar"/>
    <w:unhideWhenUsed/>
    <w:rsid w:val="0016116A"/>
    <w:pPr>
      <w:tabs>
        <w:tab w:val="center" w:pos="4680"/>
        <w:tab w:val="right" w:pos="9360"/>
      </w:tabs>
      <w:spacing w:after="0" w:line="240" w:lineRule="auto"/>
    </w:pPr>
  </w:style>
  <w:style w:type="character" w:customStyle="1" w:styleId="HeaderChar">
    <w:name w:val="Header Char"/>
    <w:aliases w:val=" Char Char,Char Char"/>
    <w:basedOn w:val="DefaultParagraphFont"/>
    <w:link w:val="Header"/>
    <w:rsid w:val="0016116A"/>
    <w:rPr>
      <w:lang w:val="sr-Latn-ME"/>
    </w:rPr>
  </w:style>
  <w:style w:type="paragraph" w:styleId="Footer">
    <w:name w:val="footer"/>
    <w:basedOn w:val="Normal"/>
    <w:link w:val="FooterChar"/>
    <w:unhideWhenUsed/>
    <w:rsid w:val="0016116A"/>
    <w:pPr>
      <w:tabs>
        <w:tab w:val="center" w:pos="4680"/>
        <w:tab w:val="right" w:pos="9360"/>
      </w:tabs>
      <w:spacing w:after="0" w:line="240" w:lineRule="auto"/>
    </w:pPr>
  </w:style>
  <w:style w:type="character" w:customStyle="1" w:styleId="FooterChar">
    <w:name w:val="Footer Char"/>
    <w:basedOn w:val="DefaultParagraphFont"/>
    <w:link w:val="Footer"/>
    <w:rsid w:val="0016116A"/>
    <w:rPr>
      <w:lang w:val="sr-Latn-ME"/>
    </w:rPr>
  </w:style>
  <w:style w:type="paragraph" w:styleId="BodyText">
    <w:name w:val="Body Text"/>
    <w:basedOn w:val="Normal"/>
    <w:link w:val="BodyTextChar"/>
    <w:rsid w:val="00D9549A"/>
    <w:pPr>
      <w:spacing w:after="0" w:line="240" w:lineRule="auto"/>
    </w:pPr>
    <w:rPr>
      <w:rFonts w:ascii="Times New Roman" w:eastAsia="Times New Roman" w:hAnsi="Times New Roman" w:cs="Times New Roman"/>
      <w:sz w:val="24"/>
      <w:szCs w:val="20"/>
      <w:lang w:val="hr-HR" w:eastAsia="hr-HR"/>
    </w:rPr>
  </w:style>
  <w:style w:type="character" w:customStyle="1" w:styleId="BodyTextChar">
    <w:name w:val="Body Text Char"/>
    <w:basedOn w:val="DefaultParagraphFont"/>
    <w:link w:val="BodyText"/>
    <w:rsid w:val="00D9549A"/>
    <w:rPr>
      <w:rFonts w:ascii="Times New Roman" w:eastAsia="Times New Roman" w:hAnsi="Times New Roman" w:cs="Times New Roman"/>
      <w:sz w:val="24"/>
      <w:szCs w:val="20"/>
      <w:lang w:val="hr-HR" w:eastAsia="hr-HR"/>
    </w:rPr>
  </w:style>
  <w:style w:type="paragraph" w:customStyle="1" w:styleId="arial-11-justify-6ptafterChar">
    <w:name w:val="arial-11-justify-6pt after Char"/>
    <w:basedOn w:val="Normal"/>
    <w:link w:val="arial-11-justify-6ptafterCharChar"/>
    <w:rsid w:val="00D9549A"/>
    <w:pPr>
      <w:spacing w:before="120" w:after="0" w:line="240" w:lineRule="auto"/>
      <w:jc w:val="both"/>
    </w:pPr>
    <w:rPr>
      <w:rFonts w:ascii="Arial" w:eastAsia="Times New Roman" w:hAnsi="Arial" w:cs="Arial"/>
      <w:lang w:val="hr-HR" w:eastAsia="hr-HR"/>
    </w:rPr>
  </w:style>
  <w:style w:type="character" w:customStyle="1" w:styleId="arial-11-justify-6ptafterCharChar">
    <w:name w:val="arial-11-justify-6pt after Char Char"/>
    <w:link w:val="arial-11-justify-6ptafterChar"/>
    <w:rsid w:val="00D9549A"/>
    <w:rPr>
      <w:rFonts w:ascii="Arial" w:eastAsia="Times New Roman" w:hAnsi="Arial" w:cs="Arial"/>
      <w:lang w:val="hr-HR" w:eastAsia="hr-HR"/>
    </w:rPr>
  </w:style>
  <w:style w:type="paragraph" w:customStyle="1" w:styleId="Default">
    <w:name w:val="Default"/>
    <w:rsid w:val="00D9549A"/>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3">
    <w:name w:val="Body Text 3"/>
    <w:basedOn w:val="Normal"/>
    <w:link w:val="BodyText3Char"/>
    <w:uiPriority w:val="99"/>
    <w:unhideWhenUsed/>
    <w:rsid w:val="00C41150"/>
    <w:pPr>
      <w:spacing w:after="120"/>
    </w:pPr>
    <w:rPr>
      <w:sz w:val="16"/>
      <w:szCs w:val="16"/>
    </w:rPr>
  </w:style>
  <w:style w:type="character" w:customStyle="1" w:styleId="BodyText3Char">
    <w:name w:val="Body Text 3 Char"/>
    <w:basedOn w:val="DefaultParagraphFont"/>
    <w:link w:val="BodyText3"/>
    <w:uiPriority w:val="99"/>
    <w:rsid w:val="00C41150"/>
    <w:rPr>
      <w:sz w:val="16"/>
      <w:szCs w:val="16"/>
      <w:lang w:val="sr-Latn-ME"/>
    </w:rPr>
  </w:style>
  <w:style w:type="paragraph" w:styleId="BodyText2">
    <w:name w:val="Body Text 2"/>
    <w:basedOn w:val="Normal"/>
    <w:link w:val="BodyText2Char"/>
    <w:uiPriority w:val="99"/>
    <w:unhideWhenUsed/>
    <w:rsid w:val="00A307C7"/>
    <w:pPr>
      <w:spacing w:after="120" w:line="480" w:lineRule="auto"/>
    </w:pPr>
  </w:style>
  <w:style w:type="character" w:customStyle="1" w:styleId="BodyText2Char">
    <w:name w:val="Body Text 2 Char"/>
    <w:basedOn w:val="DefaultParagraphFont"/>
    <w:link w:val="BodyText2"/>
    <w:uiPriority w:val="99"/>
    <w:rsid w:val="00A307C7"/>
    <w:rPr>
      <w:lang w:val="sr-Latn-ME"/>
    </w:rPr>
  </w:style>
  <w:style w:type="paragraph" w:styleId="List2">
    <w:name w:val="List 2"/>
    <w:basedOn w:val="Normal"/>
    <w:rsid w:val="00A307C7"/>
    <w:pPr>
      <w:spacing w:after="0" w:line="240" w:lineRule="auto"/>
      <w:ind w:left="566" w:hanging="283"/>
      <w:contextualSpacing/>
    </w:pPr>
    <w:rPr>
      <w:rFonts w:ascii="Times New Roman" w:eastAsia="Times New Roman" w:hAnsi="Times New Roman" w:cs="Times New Roman"/>
      <w:sz w:val="20"/>
      <w:szCs w:val="20"/>
      <w:lang w:val="en-US"/>
    </w:rPr>
  </w:style>
  <w:style w:type="paragraph" w:customStyle="1" w:styleId="normalArial">
    <w:name w:val="_normal Arial"/>
    <w:basedOn w:val="Normal"/>
    <w:link w:val="normalArialChar"/>
    <w:rsid w:val="00A307C7"/>
    <w:pPr>
      <w:spacing w:after="0" w:line="240" w:lineRule="auto"/>
      <w:jc w:val="both"/>
    </w:pPr>
    <w:rPr>
      <w:rFonts w:ascii="Arial" w:eastAsia="Times New Roman" w:hAnsi="Arial" w:cs="Arial"/>
      <w:lang w:val="hr-HR" w:eastAsia="hr-HR"/>
    </w:rPr>
  </w:style>
  <w:style w:type="character" w:customStyle="1" w:styleId="normalArialChar">
    <w:name w:val="_normal Arial Char"/>
    <w:link w:val="normalArial"/>
    <w:rsid w:val="00A307C7"/>
    <w:rPr>
      <w:rFonts w:ascii="Arial" w:eastAsia="Times New Roman" w:hAnsi="Arial" w:cs="Arial"/>
      <w:lang w:val="hr-HR" w:eastAsia="hr-HR"/>
    </w:rPr>
  </w:style>
  <w:style w:type="paragraph" w:customStyle="1" w:styleId="WW-Default">
    <w:name w:val="WW-Default"/>
    <w:uiPriority w:val="99"/>
    <w:rsid w:val="00B86061"/>
    <w:pPr>
      <w:suppressAutoHyphens/>
      <w:autoSpaceDE w:val="0"/>
      <w:spacing w:after="0" w:line="240" w:lineRule="auto"/>
    </w:pPr>
    <w:rPr>
      <w:rFonts w:ascii="Times New Roman" w:eastAsia="Times New Roman" w:hAnsi="Times New Roman" w:cs="Times New Roman"/>
      <w:color w:val="000000"/>
      <w:sz w:val="24"/>
      <w:szCs w:val="24"/>
      <w:lang w:val="en-GB" w:eastAsia="ar-SA"/>
    </w:rPr>
  </w:style>
  <w:style w:type="paragraph" w:customStyle="1" w:styleId="Heading-3">
    <w:name w:val="Heading-3"/>
    <w:basedOn w:val="arial-11-justify-6ptafterChar"/>
    <w:link w:val="Heading-3Char"/>
    <w:rsid w:val="00FF655E"/>
    <w:rPr>
      <w:b/>
      <w:sz w:val="24"/>
      <w:szCs w:val="24"/>
    </w:rPr>
  </w:style>
  <w:style w:type="character" w:customStyle="1" w:styleId="Heading-3Char">
    <w:name w:val="Heading-3 Char"/>
    <w:link w:val="Heading-3"/>
    <w:rsid w:val="00FF655E"/>
    <w:rPr>
      <w:rFonts w:ascii="Arial" w:eastAsia="Times New Roman" w:hAnsi="Arial" w:cs="Arial"/>
      <w:b/>
      <w:sz w:val="24"/>
      <w:szCs w:val="24"/>
      <w:lang w:val="hr-HR" w:eastAsia="hr-HR"/>
    </w:rPr>
  </w:style>
  <w:style w:type="paragraph" w:styleId="HTMLPreformatted">
    <w:name w:val="HTML Preformatted"/>
    <w:basedOn w:val="Normal"/>
    <w:link w:val="HTMLPreformattedChar"/>
    <w:rsid w:val="00F15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F151B8"/>
    <w:rPr>
      <w:rFonts w:ascii="Courier New" w:eastAsia="Times New Roman" w:hAnsi="Courier New" w:cs="Courier New"/>
      <w:sz w:val="20"/>
      <w:szCs w:val="20"/>
    </w:rPr>
  </w:style>
  <w:style w:type="paragraph" w:styleId="NoSpacing">
    <w:name w:val="No Spacing"/>
    <w:link w:val="NoSpacingChar"/>
    <w:uiPriority w:val="1"/>
    <w:qFormat/>
    <w:rsid w:val="00F151B8"/>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F151B8"/>
    <w:rPr>
      <w:rFonts w:ascii="Calibri" w:eastAsia="Times New Roman" w:hAnsi="Calibri" w:cs="Times New Roman"/>
    </w:rPr>
  </w:style>
  <w:style w:type="paragraph" w:customStyle="1" w:styleId="arial-11-justify-6ptafter">
    <w:name w:val="arial-11-justify-6pt after"/>
    <w:basedOn w:val="Normal"/>
    <w:rsid w:val="002B03A7"/>
    <w:pPr>
      <w:suppressAutoHyphens/>
      <w:spacing w:before="120" w:after="0" w:line="240" w:lineRule="auto"/>
      <w:jc w:val="both"/>
    </w:pPr>
    <w:rPr>
      <w:rFonts w:ascii="Arial" w:eastAsia="Times New Roman" w:hAnsi="Arial" w:cs="Arial"/>
      <w:lang w:val="hr-HR" w:eastAsia="ar-SA"/>
    </w:rPr>
  </w:style>
  <w:style w:type="character" w:customStyle="1" w:styleId="Heading2Char">
    <w:name w:val="Heading 2 Char"/>
    <w:basedOn w:val="DefaultParagraphFont"/>
    <w:link w:val="Heading2"/>
    <w:rsid w:val="002B03A7"/>
    <w:rPr>
      <w:rFonts w:ascii="Arial" w:eastAsia="Times New Roman" w:hAnsi="Arial" w:cs="Times New Roman"/>
      <w:b/>
      <w:sz w:val="28"/>
      <w:szCs w:val="28"/>
      <w:lang w:val="hr-HR" w:eastAsia="hr-HR"/>
    </w:rPr>
  </w:style>
  <w:style w:type="character" w:styleId="Emphasis">
    <w:name w:val="Emphasis"/>
    <w:uiPriority w:val="20"/>
    <w:qFormat/>
    <w:rsid w:val="006405C0"/>
    <w:rPr>
      <w:b/>
      <w:bCs/>
      <w:i w:val="0"/>
      <w:iCs w:val="0"/>
    </w:rPr>
  </w:style>
  <w:style w:type="character" w:customStyle="1" w:styleId="CharChar4">
    <w:name w:val="Char Char4"/>
    <w:rsid w:val="00245D4E"/>
    <w:rPr>
      <w:rFonts w:ascii="Garamond" w:hAnsi="Garamond"/>
      <w:sz w:val="24"/>
    </w:rPr>
  </w:style>
  <w:style w:type="character" w:customStyle="1" w:styleId="Heading9Char">
    <w:name w:val="Heading 9 Char"/>
    <w:basedOn w:val="DefaultParagraphFont"/>
    <w:link w:val="Heading9"/>
    <w:uiPriority w:val="99"/>
    <w:semiHidden/>
    <w:rsid w:val="00F14B13"/>
    <w:rPr>
      <w:rFonts w:asciiTheme="majorHAnsi" w:eastAsiaTheme="majorEastAsia" w:hAnsiTheme="majorHAnsi" w:cstheme="majorBidi"/>
      <w:i/>
      <w:iCs/>
      <w:color w:val="404040" w:themeColor="text1" w:themeTint="BF"/>
      <w:sz w:val="20"/>
      <w:szCs w:val="20"/>
      <w:lang w:val="sr-Latn-ME"/>
    </w:rPr>
  </w:style>
  <w:style w:type="paragraph" w:styleId="ListBullet2">
    <w:name w:val="List Bullet 2"/>
    <w:basedOn w:val="Normal"/>
    <w:uiPriority w:val="99"/>
    <w:rsid w:val="007C62F0"/>
    <w:pPr>
      <w:tabs>
        <w:tab w:val="num" w:pos="360"/>
      </w:tabs>
      <w:suppressAutoHyphens/>
      <w:spacing w:after="0" w:line="240" w:lineRule="auto"/>
      <w:ind w:left="360" w:hanging="360"/>
    </w:pPr>
    <w:rPr>
      <w:rFonts w:ascii="Times New Roman" w:eastAsia="Times New Roman" w:hAnsi="Times New Roman" w:cs="Times New Roman"/>
      <w:sz w:val="24"/>
      <w:szCs w:val="24"/>
      <w:lang w:val="en-US" w:eastAsia="ar-SA"/>
    </w:rPr>
  </w:style>
  <w:style w:type="character" w:styleId="SubtleEmphasis">
    <w:name w:val="Subtle Emphasis"/>
    <w:basedOn w:val="DefaultParagraphFont"/>
    <w:uiPriority w:val="19"/>
    <w:qFormat/>
    <w:rsid w:val="00B96369"/>
    <w:rPr>
      <w:i/>
      <w:iCs/>
      <w:color w:val="808080" w:themeColor="text1" w:themeTint="7F"/>
    </w:rPr>
  </w:style>
  <w:style w:type="paragraph" w:customStyle="1" w:styleId="Char5">
    <w:name w:val="Char5"/>
    <w:basedOn w:val="Normal"/>
    <w:rsid w:val="00D11A7E"/>
    <w:pPr>
      <w:spacing w:after="0" w:line="240" w:lineRule="auto"/>
    </w:pPr>
    <w:rPr>
      <w:rFonts w:ascii="Arial" w:eastAsia="Times New Roman" w:hAnsi="Arial" w:cs="Times New Roman"/>
      <w:sz w:val="20"/>
      <w:szCs w:val="20"/>
      <w:lang w:val="en-GB"/>
    </w:rPr>
  </w:style>
  <w:style w:type="character" w:customStyle="1" w:styleId="Heading1Char">
    <w:name w:val="Heading 1 Char"/>
    <w:basedOn w:val="DefaultParagraphFont"/>
    <w:link w:val="Heading1"/>
    <w:uiPriority w:val="9"/>
    <w:rsid w:val="006D08D8"/>
    <w:rPr>
      <w:rFonts w:asciiTheme="majorHAnsi" w:eastAsiaTheme="majorEastAsia" w:hAnsiTheme="majorHAnsi" w:cstheme="majorBidi"/>
      <w:b/>
      <w:bCs/>
      <w:color w:val="365F91" w:themeColor="accent1" w:themeShade="BF"/>
      <w:sz w:val="28"/>
      <w:szCs w:val="28"/>
      <w:lang w:val="sr-Latn-ME"/>
    </w:rPr>
  </w:style>
  <w:style w:type="paragraph" w:styleId="List3">
    <w:name w:val="List 3"/>
    <w:basedOn w:val="Normal"/>
    <w:uiPriority w:val="99"/>
    <w:semiHidden/>
    <w:unhideWhenUsed/>
    <w:rsid w:val="009B2BCB"/>
    <w:pPr>
      <w:ind w:left="849" w:hanging="283"/>
      <w:contextualSpacing/>
    </w:pPr>
  </w:style>
  <w:style w:type="character" w:customStyle="1" w:styleId="ListParagraphChar">
    <w:name w:val="List Paragraph Char"/>
    <w:link w:val="ListParagraph"/>
    <w:uiPriority w:val="34"/>
    <w:rsid w:val="009B2BCB"/>
    <w:rPr>
      <w:lang w:val="sr-Latn-ME"/>
    </w:rPr>
  </w:style>
  <w:style w:type="character" w:customStyle="1" w:styleId="Heading3Char">
    <w:name w:val="Heading 3 Char"/>
    <w:basedOn w:val="DefaultParagraphFont"/>
    <w:link w:val="Heading3"/>
    <w:uiPriority w:val="9"/>
    <w:semiHidden/>
    <w:rsid w:val="00DD2FDE"/>
    <w:rPr>
      <w:rFonts w:asciiTheme="majorHAnsi" w:eastAsiaTheme="majorEastAsia" w:hAnsiTheme="majorHAnsi" w:cstheme="majorBidi"/>
      <w:b/>
      <w:bCs/>
      <w:color w:val="4F81BD" w:themeColor="accent1"/>
      <w:lang w:val="sr-Latn-ME"/>
    </w:rPr>
  </w:style>
  <w:style w:type="paragraph" w:styleId="ListBullet3">
    <w:name w:val="List Bullet 3"/>
    <w:basedOn w:val="Normal"/>
    <w:uiPriority w:val="99"/>
    <w:semiHidden/>
    <w:unhideWhenUsed/>
    <w:rsid w:val="00E73943"/>
    <w:pPr>
      <w:numPr>
        <w:numId w:val="26"/>
      </w:numPr>
      <w:spacing w:after="0" w:line="240" w:lineRule="auto"/>
      <w:contextualSpacing/>
    </w:pPr>
    <w:rPr>
      <w:rFonts w:ascii="Arial Narrow" w:hAnsi="Arial Narrow"/>
      <w:lang w:val="en-US"/>
    </w:rPr>
  </w:style>
  <w:style w:type="paragraph" w:customStyle="1" w:styleId="Char50">
    <w:name w:val="Char5"/>
    <w:basedOn w:val="Normal"/>
    <w:rsid w:val="008027E5"/>
    <w:pPr>
      <w:spacing w:after="0" w:line="240" w:lineRule="auto"/>
    </w:pPr>
    <w:rPr>
      <w:rFonts w:ascii="Arial" w:eastAsia="Times New Roman" w:hAnsi="Arial" w:cs="Times New Roman"/>
      <w:sz w:val="20"/>
      <w:szCs w:val="20"/>
      <w:lang w:val="en-GB"/>
    </w:rPr>
  </w:style>
  <w:style w:type="character" w:styleId="Hyperlink">
    <w:name w:val="Hyperlink"/>
    <w:basedOn w:val="DefaultParagraphFont"/>
    <w:uiPriority w:val="99"/>
    <w:unhideWhenUsed/>
    <w:rsid w:val="00D45CBF"/>
    <w:rPr>
      <w:color w:val="0000FF" w:themeColor="hyperlink"/>
      <w:u w:val="single"/>
    </w:rPr>
  </w:style>
  <w:style w:type="paragraph" w:customStyle="1" w:styleId="Char51">
    <w:name w:val="Char5"/>
    <w:basedOn w:val="Normal"/>
    <w:rsid w:val="00931A40"/>
    <w:pPr>
      <w:spacing w:after="0" w:line="240" w:lineRule="auto"/>
    </w:pPr>
    <w:rPr>
      <w:rFonts w:ascii="Arial" w:eastAsia="Times New Roman" w:hAnsi="Arial" w:cs="Times New Roman"/>
      <w:sz w:val="20"/>
      <w:szCs w:val="20"/>
      <w:lang w:val="en-GB"/>
    </w:rPr>
  </w:style>
  <w:style w:type="paragraph" w:styleId="List">
    <w:name w:val="List"/>
    <w:basedOn w:val="Normal"/>
    <w:uiPriority w:val="99"/>
    <w:semiHidden/>
    <w:unhideWhenUsed/>
    <w:rsid w:val="00573F94"/>
    <w:pPr>
      <w:ind w:left="283" w:hanging="283"/>
      <w:contextualSpacing/>
    </w:pPr>
  </w:style>
  <w:style w:type="paragraph" w:styleId="ListContinue">
    <w:name w:val="List Continue"/>
    <w:basedOn w:val="Normal"/>
    <w:uiPriority w:val="99"/>
    <w:semiHidden/>
    <w:unhideWhenUsed/>
    <w:rsid w:val="00573F94"/>
    <w:pPr>
      <w:spacing w:after="120"/>
      <w:ind w:left="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99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eoportal.ekip.me/login/aut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eoportal.ekip.m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kip.me/page/electronic-communications/ec-networks/izrada-tehnicke-dokumentacije/conten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90CEF-F35F-449B-8ABA-CDED580F9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1324</TotalTime>
  <Pages>13</Pages>
  <Words>7371</Words>
  <Characters>42017</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Tatjana Vujosevic</dc:creator>
  <cp:lastModifiedBy>Milica Manojlovic</cp:lastModifiedBy>
  <cp:revision>3</cp:revision>
  <cp:lastPrinted>2022-05-12T08:16:00Z</cp:lastPrinted>
  <dcterms:created xsi:type="dcterms:W3CDTF">2022-05-11T09:00:00Z</dcterms:created>
  <dcterms:modified xsi:type="dcterms:W3CDTF">2022-05-12T08:16:00Z</dcterms:modified>
</cp:coreProperties>
</file>